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4ABA98" w14:textId="77777777" w:rsidR="00A22C01" w:rsidRDefault="00A22C01" w:rsidP="00A22C01">
      <w:pPr>
        <w:pStyle w:val="Heading3"/>
      </w:pPr>
      <w:r>
        <w:t>Benchmark Dose Model Recommendation/Selection Rules for Apical Endpoints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97"/>
        <w:gridCol w:w="2946"/>
        <w:gridCol w:w="1862"/>
        <w:gridCol w:w="1855"/>
      </w:tblGrid>
      <w:tr w:rsidR="00A22C01" w14:paraId="3C4D13A7" w14:textId="77777777" w:rsidTr="00776E73">
        <w:tc>
          <w:tcPr>
            <w:tcW w:w="26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5DE53CF2" w14:textId="77777777" w:rsidR="00A22C01" w:rsidRDefault="00A22C01">
            <w:pPr>
              <w:pStyle w:val="bmdsTblHeader"/>
              <w:jc w:val="center"/>
            </w:pPr>
            <w:r>
              <w:t>Rule</w:t>
            </w:r>
          </w:p>
        </w:tc>
        <w:tc>
          <w:tcPr>
            <w:tcW w:w="29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3E60070D" w14:textId="77777777" w:rsidR="00A22C01" w:rsidRDefault="00A22C01">
            <w:pPr>
              <w:pStyle w:val="bmdsTblHeader"/>
              <w:jc w:val="center"/>
            </w:pPr>
            <w:r>
              <w:t>Criteria for "Viable"</w:t>
            </w:r>
          </w:p>
        </w:tc>
        <w:tc>
          <w:tcPr>
            <w:tcW w:w="18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04FB5039" w14:textId="77777777" w:rsidR="00A22C01" w:rsidRDefault="00A22C01">
            <w:pPr>
              <w:pStyle w:val="bmdsTblHeader"/>
              <w:jc w:val="center"/>
            </w:pPr>
            <w:r>
              <w:t>Numerical Threshold (N)</w:t>
            </w:r>
          </w:p>
        </w:tc>
        <w:tc>
          <w:tcPr>
            <w:tcW w:w="185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38414DA9" w14:textId="77777777" w:rsidR="00A22C01" w:rsidRDefault="00A22C01">
            <w:pPr>
              <w:pStyle w:val="bmdsTblHeader"/>
              <w:jc w:val="center"/>
            </w:pPr>
            <w:r>
              <w:t>Bin Placement for Rule Failure</w:t>
            </w:r>
          </w:p>
        </w:tc>
      </w:tr>
      <w:tr w:rsidR="00A22C01" w14:paraId="5CDA1AB9" w14:textId="77777777" w:rsidTr="00776E73">
        <w:tc>
          <w:tcPr>
            <w:tcW w:w="2697" w:type="dxa"/>
            <w:vAlign w:val="center"/>
            <w:hideMark/>
          </w:tcPr>
          <w:p w14:paraId="73F7BD8A" w14:textId="77777777" w:rsidR="00A22C01" w:rsidRDefault="00A22C01">
            <w:pPr>
              <w:pStyle w:val="bmdsTblBody"/>
              <w:jc w:val="center"/>
            </w:pPr>
            <w:r>
              <w:rPr>
                <w:sz w:val="16"/>
              </w:rPr>
              <w:t>BMD existence</w:t>
            </w:r>
          </w:p>
        </w:tc>
        <w:tc>
          <w:tcPr>
            <w:tcW w:w="2946" w:type="dxa"/>
            <w:vAlign w:val="center"/>
            <w:hideMark/>
          </w:tcPr>
          <w:p w14:paraId="022F491A" w14:textId="77777777" w:rsidR="00A22C01" w:rsidRDefault="00A22C01">
            <w:pPr>
              <w:pStyle w:val="bmdsTblBody"/>
              <w:jc w:val="center"/>
            </w:pPr>
            <w:r>
              <w:rPr>
                <w:sz w:val="16"/>
              </w:rPr>
              <w:t>A BMD exists.</w:t>
            </w:r>
          </w:p>
        </w:tc>
        <w:tc>
          <w:tcPr>
            <w:tcW w:w="1862" w:type="dxa"/>
            <w:vAlign w:val="center"/>
            <w:hideMark/>
          </w:tcPr>
          <w:p w14:paraId="6B14288F" w14:textId="77777777" w:rsidR="00A22C01" w:rsidRDefault="00A22C01">
            <w:pPr>
              <w:pStyle w:val="bmdsTblBody"/>
              <w:jc w:val="center"/>
            </w:pPr>
            <w:r>
              <w:rPr>
                <w:sz w:val="16"/>
              </w:rPr>
              <w:t>N/A</w:t>
            </w:r>
          </w:p>
        </w:tc>
        <w:tc>
          <w:tcPr>
            <w:tcW w:w="1855" w:type="dxa"/>
            <w:vAlign w:val="center"/>
            <w:hideMark/>
          </w:tcPr>
          <w:p w14:paraId="7F64E60A" w14:textId="77777777" w:rsidR="00A22C01" w:rsidRDefault="00A22C01">
            <w:pPr>
              <w:pStyle w:val="bmdsTblBody"/>
              <w:jc w:val="center"/>
            </w:pPr>
            <w:r>
              <w:rPr>
                <w:sz w:val="16"/>
              </w:rPr>
              <w:t>Failure</w:t>
            </w:r>
          </w:p>
        </w:tc>
      </w:tr>
      <w:tr w:rsidR="00A22C01" w14:paraId="5E2DB766" w14:textId="77777777" w:rsidTr="00776E73">
        <w:tc>
          <w:tcPr>
            <w:tcW w:w="2697" w:type="dxa"/>
            <w:vAlign w:val="center"/>
            <w:hideMark/>
          </w:tcPr>
          <w:p w14:paraId="3640063F" w14:textId="77777777" w:rsidR="00A22C01" w:rsidRDefault="00A22C01">
            <w:pPr>
              <w:pStyle w:val="bmdsTblBody"/>
              <w:jc w:val="center"/>
            </w:pPr>
            <w:r>
              <w:rPr>
                <w:sz w:val="16"/>
              </w:rPr>
              <w:t>BMDL existence</w:t>
            </w:r>
          </w:p>
        </w:tc>
        <w:tc>
          <w:tcPr>
            <w:tcW w:w="2946" w:type="dxa"/>
            <w:vAlign w:val="center"/>
            <w:hideMark/>
          </w:tcPr>
          <w:p w14:paraId="513C6CF6" w14:textId="77777777" w:rsidR="00A22C01" w:rsidRDefault="00A22C01">
            <w:pPr>
              <w:pStyle w:val="bmdsTblBody"/>
              <w:jc w:val="center"/>
            </w:pPr>
            <w:r>
              <w:rPr>
                <w:sz w:val="16"/>
              </w:rPr>
              <w:t>A BMDL exists.</w:t>
            </w:r>
          </w:p>
        </w:tc>
        <w:tc>
          <w:tcPr>
            <w:tcW w:w="1862" w:type="dxa"/>
            <w:vAlign w:val="center"/>
            <w:hideMark/>
          </w:tcPr>
          <w:p w14:paraId="162CFD8D" w14:textId="77777777" w:rsidR="00A22C01" w:rsidRDefault="00A22C01">
            <w:pPr>
              <w:pStyle w:val="bmdsTblBody"/>
              <w:jc w:val="center"/>
            </w:pPr>
            <w:r>
              <w:rPr>
                <w:sz w:val="16"/>
              </w:rPr>
              <w:t>N/A</w:t>
            </w:r>
          </w:p>
        </w:tc>
        <w:tc>
          <w:tcPr>
            <w:tcW w:w="1855" w:type="dxa"/>
            <w:vAlign w:val="center"/>
            <w:hideMark/>
          </w:tcPr>
          <w:p w14:paraId="5707B814" w14:textId="77777777" w:rsidR="00A22C01" w:rsidRDefault="00A22C01">
            <w:pPr>
              <w:pStyle w:val="bmdsTblBody"/>
              <w:jc w:val="center"/>
            </w:pPr>
            <w:r>
              <w:rPr>
                <w:sz w:val="16"/>
              </w:rPr>
              <w:t>Failure</w:t>
            </w:r>
          </w:p>
        </w:tc>
      </w:tr>
      <w:tr w:rsidR="00A22C01" w14:paraId="18A0B325" w14:textId="77777777" w:rsidTr="00776E73">
        <w:tc>
          <w:tcPr>
            <w:tcW w:w="2697" w:type="dxa"/>
            <w:vAlign w:val="center"/>
            <w:hideMark/>
          </w:tcPr>
          <w:p w14:paraId="1AE19F9F" w14:textId="77777777" w:rsidR="00A22C01" w:rsidRDefault="00A22C01">
            <w:pPr>
              <w:pStyle w:val="bmdsTblBody"/>
              <w:jc w:val="center"/>
            </w:pPr>
            <w:r>
              <w:rPr>
                <w:sz w:val="16"/>
              </w:rPr>
              <w:t>AIC existence</w:t>
            </w:r>
          </w:p>
        </w:tc>
        <w:tc>
          <w:tcPr>
            <w:tcW w:w="2946" w:type="dxa"/>
            <w:vAlign w:val="center"/>
            <w:hideMark/>
          </w:tcPr>
          <w:p w14:paraId="5CB548E3" w14:textId="77777777" w:rsidR="00A22C01" w:rsidRDefault="00A22C01">
            <w:pPr>
              <w:pStyle w:val="bmdsTblBody"/>
              <w:jc w:val="center"/>
            </w:pPr>
            <w:r>
              <w:rPr>
                <w:sz w:val="16"/>
              </w:rPr>
              <w:t>An AIC exists.</w:t>
            </w:r>
          </w:p>
        </w:tc>
        <w:tc>
          <w:tcPr>
            <w:tcW w:w="1862" w:type="dxa"/>
            <w:vAlign w:val="center"/>
            <w:hideMark/>
          </w:tcPr>
          <w:p w14:paraId="31BA1A29" w14:textId="77777777" w:rsidR="00A22C01" w:rsidRDefault="00A22C01">
            <w:pPr>
              <w:pStyle w:val="bmdsTblBody"/>
              <w:jc w:val="center"/>
            </w:pPr>
            <w:r>
              <w:rPr>
                <w:sz w:val="16"/>
              </w:rPr>
              <w:t>N/A</w:t>
            </w:r>
          </w:p>
        </w:tc>
        <w:tc>
          <w:tcPr>
            <w:tcW w:w="1855" w:type="dxa"/>
            <w:vAlign w:val="center"/>
            <w:hideMark/>
          </w:tcPr>
          <w:p w14:paraId="4B8A6DBC" w14:textId="77777777" w:rsidR="00A22C01" w:rsidRDefault="00A22C01">
            <w:pPr>
              <w:pStyle w:val="bmdsTblBody"/>
              <w:jc w:val="center"/>
            </w:pPr>
            <w:r>
              <w:rPr>
                <w:sz w:val="16"/>
              </w:rPr>
              <w:t>Failure</w:t>
            </w:r>
          </w:p>
        </w:tc>
      </w:tr>
      <w:tr w:rsidR="00A22C01" w14:paraId="2E5EC46E" w14:textId="77777777" w:rsidTr="00776E73">
        <w:tc>
          <w:tcPr>
            <w:tcW w:w="2697" w:type="dxa"/>
            <w:vAlign w:val="center"/>
            <w:hideMark/>
          </w:tcPr>
          <w:p w14:paraId="680550DB" w14:textId="77777777" w:rsidR="00A22C01" w:rsidRDefault="00A22C01">
            <w:pPr>
              <w:pStyle w:val="bmdsTblBody"/>
              <w:jc w:val="center"/>
            </w:pPr>
            <w:r>
              <w:rPr>
                <w:sz w:val="16"/>
              </w:rPr>
              <w:t>Residual of interest existence</w:t>
            </w:r>
          </w:p>
        </w:tc>
        <w:tc>
          <w:tcPr>
            <w:tcW w:w="2946" w:type="dxa"/>
            <w:vAlign w:val="center"/>
            <w:hideMark/>
          </w:tcPr>
          <w:p w14:paraId="2EFBC72A" w14:textId="77777777" w:rsidR="00A22C01" w:rsidRDefault="00A22C01">
            <w:pPr>
              <w:pStyle w:val="bmdsTblBody"/>
              <w:jc w:val="center"/>
            </w:pPr>
            <w:r>
              <w:rPr>
                <w:sz w:val="16"/>
              </w:rPr>
              <w:t>The residual at the dose group closest to the BMD (i.e., the residual of interest) exists.</w:t>
            </w:r>
          </w:p>
        </w:tc>
        <w:tc>
          <w:tcPr>
            <w:tcW w:w="1862" w:type="dxa"/>
            <w:vAlign w:val="center"/>
            <w:hideMark/>
          </w:tcPr>
          <w:p w14:paraId="0C14556D" w14:textId="77777777" w:rsidR="00A22C01" w:rsidRDefault="00A22C01">
            <w:pPr>
              <w:pStyle w:val="bmdsTblBody"/>
              <w:jc w:val="center"/>
            </w:pPr>
            <w:r>
              <w:rPr>
                <w:sz w:val="16"/>
              </w:rPr>
              <w:t>N/A</w:t>
            </w:r>
          </w:p>
        </w:tc>
        <w:tc>
          <w:tcPr>
            <w:tcW w:w="1855" w:type="dxa"/>
            <w:vAlign w:val="center"/>
            <w:hideMark/>
          </w:tcPr>
          <w:p w14:paraId="031DEECC" w14:textId="77777777" w:rsidR="00A22C01" w:rsidRDefault="00A22C01">
            <w:pPr>
              <w:pStyle w:val="bmdsTblBody"/>
              <w:jc w:val="center"/>
            </w:pPr>
            <w:r>
              <w:rPr>
                <w:sz w:val="16"/>
              </w:rPr>
              <w:t>Failure</w:t>
            </w:r>
          </w:p>
        </w:tc>
      </w:tr>
      <w:tr w:rsidR="00A22C01" w14:paraId="466CCC15" w14:textId="77777777" w:rsidTr="00776E73">
        <w:tc>
          <w:tcPr>
            <w:tcW w:w="2697" w:type="dxa"/>
            <w:vAlign w:val="center"/>
            <w:hideMark/>
          </w:tcPr>
          <w:p w14:paraId="04A26BE9" w14:textId="77777777" w:rsidR="00A22C01" w:rsidRDefault="00A22C01">
            <w:pPr>
              <w:pStyle w:val="bmdsTblBody"/>
              <w:jc w:val="center"/>
            </w:pPr>
            <w:r>
              <w:rPr>
                <w:sz w:val="16"/>
              </w:rPr>
              <w:t>Variance model fit</w:t>
            </w:r>
          </w:p>
        </w:tc>
        <w:tc>
          <w:tcPr>
            <w:tcW w:w="2946" w:type="dxa"/>
            <w:vAlign w:val="center"/>
            <w:hideMark/>
          </w:tcPr>
          <w:p w14:paraId="661279BF" w14:textId="77777777" w:rsidR="00A22C01" w:rsidRDefault="00A22C01">
            <w:pPr>
              <w:pStyle w:val="bmdsTblBody"/>
              <w:jc w:val="center"/>
            </w:pPr>
            <w:r>
              <w:rPr>
                <w:sz w:val="16"/>
              </w:rPr>
              <w:t>The variance model used fits the data.</w:t>
            </w:r>
          </w:p>
        </w:tc>
        <w:tc>
          <w:tcPr>
            <w:tcW w:w="1862" w:type="dxa"/>
            <w:vAlign w:val="center"/>
            <w:hideMark/>
          </w:tcPr>
          <w:p w14:paraId="6DD585C0" w14:textId="77777777" w:rsidR="00A22C01" w:rsidRDefault="00A22C01">
            <w:pPr>
              <w:pStyle w:val="bmdsTblBody"/>
              <w:jc w:val="center"/>
            </w:pPr>
            <w:r>
              <w:rPr>
                <w:sz w:val="16"/>
              </w:rPr>
              <w:t>N/A</w:t>
            </w:r>
          </w:p>
        </w:tc>
        <w:tc>
          <w:tcPr>
            <w:tcW w:w="1855" w:type="dxa"/>
            <w:vAlign w:val="center"/>
            <w:hideMark/>
          </w:tcPr>
          <w:p w14:paraId="33791023" w14:textId="77777777" w:rsidR="00A22C01" w:rsidRDefault="00A22C01">
            <w:pPr>
              <w:pStyle w:val="bmdsTblBody"/>
              <w:jc w:val="center"/>
            </w:pPr>
            <w:r>
              <w:rPr>
                <w:sz w:val="16"/>
              </w:rPr>
              <w:t>Nonviable</w:t>
            </w:r>
          </w:p>
        </w:tc>
      </w:tr>
      <w:tr w:rsidR="00A22C01" w14:paraId="31B03805" w14:textId="77777777" w:rsidTr="00776E73">
        <w:tc>
          <w:tcPr>
            <w:tcW w:w="2697" w:type="dxa"/>
            <w:vAlign w:val="center"/>
            <w:hideMark/>
          </w:tcPr>
          <w:p w14:paraId="56DE1267" w14:textId="77777777" w:rsidR="00A22C01" w:rsidRDefault="00A22C01">
            <w:pPr>
              <w:pStyle w:val="bmdsTblBody"/>
              <w:jc w:val="center"/>
            </w:pPr>
            <w:r>
              <w:rPr>
                <w:sz w:val="16"/>
              </w:rPr>
              <w:t>Variance model selection</w:t>
            </w:r>
          </w:p>
        </w:tc>
        <w:tc>
          <w:tcPr>
            <w:tcW w:w="2946" w:type="dxa"/>
            <w:vAlign w:val="center"/>
            <w:hideMark/>
          </w:tcPr>
          <w:p w14:paraId="2074CBEB" w14:textId="77777777" w:rsidR="00A22C01" w:rsidRDefault="00A22C01">
            <w:pPr>
              <w:pStyle w:val="bmdsTblBody"/>
              <w:jc w:val="center"/>
            </w:pPr>
            <w:r>
              <w:rPr>
                <w:sz w:val="16"/>
              </w:rPr>
              <w:t>The variance model is appropriate.</w:t>
            </w:r>
          </w:p>
        </w:tc>
        <w:tc>
          <w:tcPr>
            <w:tcW w:w="1862" w:type="dxa"/>
            <w:vAlign w:val="center"/>
            <w:hideMark/>
          </w:tcPr>
          <w:p w14:paraId="3BBFA953" w14:textId="77777777" w:rsidR="00A22C01" w:rsidRDefault="00A22C01">
            <w:pPr>
              <w:pStyle w:val="bmdsTblBody"/>
              <w:jc w:val="center"/>
            </w:pPr>
            <w:r>
              <w:rPr>
                <w:sz w:val="16"/>
              </w:rPr>
              <w:t>N/A</w:t>
            </w:r>
          </w:p>
        </w:tc>
        <w:tc>
          <w:tcPr>
            <w:tcW w:w="1855" w:type="dxa"/>
            <w:vAlign w:val="center"/>
            <w:hideMark/>
          </w:tcPr>
          <w:p w14:paraId="42CF9C69" w14:textId="77777777" w:rsidR="00A22C01" w:rsidRDefault="00A22C01">
            <w:pPr>
              <w:pStyle w:val="bmdsTblBody"/>
              <w:jc w:val="center"/>
            </w:pPr>
            <w:r>
              <w:rPr>
                <w:sz w:val="16"/>
              </w:rPr>
              <w:t>Nonviable</w:t>
            </w:r>
          </w:p>
        </w:tc>
      </w:tr>
      <w:tr w:rsidR="00A22C01" w14:paraId="062558E6" w14:textId="77777777" w:rsidTr="00776E73">
        <w:tc>
          <w:tcPr>
            <w:tcW w:w="2697" w:type="dxa"/>
            <w:vAlign w:val="center"/>
            <w:hideMark/>
          </w:tcPr>
          <w:p w14:paraId="5061E36B" w14:textId="77777777" w:rsidR="00A22C01" w:rsidRDefault="00A22C01">
            <w:pPr>
              <w:pStyle w:val="bmdsTblBody"/>
              <w:jc w:val="center"/>
            </w:pPr>
            <w:r>
              <w:rPr>
                <w:sz w:val="16"/>
              </w:rPr>
              <w:t xml:space="preserve">Global goodness of fit </w:t>
            </w:r>
          </w:p>
        </w:tc>
        <w:tc>
          <w:tcPr>
            <w:tcW w:w="2946" w:type="dxa"/>
            <w:vAlign w:val="center"/>
            <w:hideMark/>
          </w:tcPr>
          <w:p w14:paraId="565E6446" w14:textId="77777777" w:rsidR="00A22C01" w:rsidRDefault="00A22C01">
            <w:pPr>
              <w:pStyle w:val="bmdsTblBody"/>
              <w:jc w:val="center"/>
            </w:pPr>
            <w:r>
              <w:rPr>
                <w:sz w:val="16"/>
              </w:rPr>
              <w:t>The mean model fits the data means sufficiently well (BMDS 2.7 Test 4 p-value &gt; N).</w:t>
            </w:r>
          </w:p>
        </w:tc>
        <w:tc>
          <w:tcPr>
            <w:tcW w:w="1862" w:type="dxa"/>
            <w:vAlign w:val="center"/>
            <w:hideMark/>
          </w:tcPr>
          <w:p w14:paraId="7E39BA8D" w14:textId="77777777" w:rsidR="00A22C01" w:rsidRDefault="00A22C01">
            <w:pPr>
              <w:pStyle w:val="bmdsTblBody"/>
              <w:jc w:val="center"/>
            </w:pPr>
            <w:r>
              <w:rPr>
                <w:sz w:val="16"/>
              </w:rPr>
              <w:t>0.1</w:t>
            </w:r>
          </w:p>
        </w:tc>
        <w:tc>
          <w:tcPr>
            <w:tcW w:w="1855" w:type="dxa"/>
            <w:vAlign w:val="center"/>
            <w:hideMark/>
          </w:tcPr>
          <w:p w14:paraId="07B6AD5C" w14:textId="77777777" w:rsidR="00A22C01" w:rsidRDefault="00A22C01">
            <w:pPr>
              <w:pStyle w:val="bmdsTblBody"/>
              <w:jc w:val="center"/>
            </w:pPr>
            <w:r>
              <w:rPr>
                <w:sz w:val="16"/>
              </w:rPr>
              <w:t>Nonviable</w:t>
            </w:r>
          </w:p>
        </w:tc>
      </w:tr>
      <w:tr w:rsidR="00A22C01" w14:paraId="114FD732" w14:textId="77777777" w:rsidTr="00776E73">
        <w:tc>
          <w:tcPr>
            <w:tcW w:w="2697" w:type="dxa"/>
            <w:vAlign w:val="center"/>
            <w:hideMark/>
          </w:tcPr>
          <w:p w14:paraId="61D0250D" w14:textId="77777777" w:rsidR="00A22C01" w:rsidRDefault="00A22C01">
            <w:pPr>
              <w:pStyle w:val="bmdsTblBody"/>
              <w:jc w:val="center"/>
            </w:pPr>
            <w:r>
              <w:rPr>
                <w:sz w:val="16"/>
              </w:rPr>
              <w:t>Degrees of freedom</w:t>
            </w:r>
          </w:p>
        </w:tc>
        <w:tc>
          <w:tcPr>
            <w:tcW w:w="2946" w:type="dxa"/>
            <w:vAlign w:val="center"/>
            <w:hideMark/>
          </w:tcPr>
          <w:p w14:paraId="092A5817" w14:textId="77777777" w:rsidR="00A22C01" w:rsidRDefault="00A22C01">
            <w:pPr>
              <w:pStyle w:val="bmdsTblBody"/>
              <w:jc w:val="center"/>
            </w:pPr>
            <w:r>
              <w:rPr>
                <w:sz w:val="16"/>
              </w:rPr>
              <w:t>There is at least one degree of freedom (i.e. more dose-groups than model parameters)</w:t>
            </w:r>
          </w:p>
        </w:tc>
        <w:tc>
          <w:tcPr>
            <w:tcW w:w="1862" w:type="dxa"/>
            <w:vAlign w:val="center"/>
            <w:hideMark/>
          </w:tcPr>
          <w:p w14:paraId="38822134" w14:textId="77777777" w:rsidR="00A22C01" w:rsidRDefault="00A22C01">
            <w:pPr>
              <w:pStyle w:val="bmdsTblBody"/>
              <w:jc w:val="center"/>
            </w:pPr>
            <w:r>
              <w:rPr>
                <w:sz w:val="16"/>
              </w:rPr>
              <w:t>N/A</w:t>
            </w:r>
          </w:p>
        </w:tc>
        <w:tc>
          <w:tcPr>
            <w:tcW w:w="1855" w:type="dxa"/>
            <w:vAlign w:val="center"/>
            <w:hideMark/>
          </w:tcPr>
          <w:p w14:paraId="7340A03A" w14:textId="77777777" w:rsidR="00A22C01" w:rsidRDefault="00A22C01">
            <w:pPr>
              <w:pStyle w:val="bmdsTblBody"/>
              <w:jc w:val="center"/>
            </w:pPr>
            <w:r>
              <w:rPr>
                <w:sz w:val="16"/>
              </w:rPr>
              <w:t>Nonviable</w:t>
            </w:r>
          </w:p>
        </w:tc>
      </w:tr>
      <w:tr w:rsidR="00A22C01" w14:paraId="6A546F27" w14:textId="77777777" w:rsidTr="00776E73">
        <w:tc>
          <w:tcPr>
            <w:tcW w:w="2697" w:type="dxa"/>
            <w:vAlign w:val="center"/>
            <w:hideMark/>
          </w:tcPr>
          <w:p w14:paraId="3EFF5209" w14:textId="77777777" w:rsidR="00A22C01" w:rsidRDefault="00A22C01">
            <w:pPr>
              <w:pStyle w:val="bmdsTblBody"/>
              <w:jc w:val="center"/>
            </w:pPr>
            <w:r>
              <w:rPr>
                <w:sz w:val="16"/>
              </w:rPr>
              <w:t>BMD-to-BMDL ratio</w:t>
            </w:r>
          </w:p>
        </w:tc>
        <w:tc>
          <w:tcPr>
            <w:tcW w:w="2946" w:type="dxa"/>
            <w:vAlign w:val="center"/>
            <w:hideMark/>
          </w:tcPr>
          <w:p w14:paraId="63FAF7F0" w14:textId="77777777" w:rsidR="00A22C01" w:rsidRDefault="00A22C01">
            <w:pPr>
              <w:pStyle w:val="bmdsTblBody"/>
              <w:jc w:val="center"/>
            </w:pPr>
            <w:r>
              <w:rPr>
                <w:sz w:val="16"/>
              </w:rPr>
              <w:t>The ratio of BMD to BMDL is not large (BMD/BMDL &lt; N).</w:t>
            </w:r>
          </w:p>
        </w:tc>
        <w:tc>
          <w:tcPr>
            <w:tcW w:w="1862" w:type="dxa"/>
            <w:vAlign w:val="center"/>
            <w:hideMark/>
          </w:tcPr>
          <w:p w14:paraId="2E0695C5" w14:textId="77777777" w:rsidR="00A22C01" w:rsidRDefault="00A22C01">
            <w:pPr>
              <w:pStyle w:val="bmdsTblBody"/>
              <w:jc w:val="center"/>
            </w:pPr>
            <w:r>
              <w:rPr>
                <w:sz w:val="16"/>
              </w:rPr>
              <w:t>20</w:t>
            </w:r>
          </w:p>
        </w:tc>
        <w:tc>
          <w:tcPr>
            <w:tcW w:w="1855" w:type="dxa"/>
            <w:vAlign w:val="center"/>
            <w:hideMark/>
          </w:tcPr>
          <w:p w14:paraId="4DAC6967" w14:textId="77777777" w:rsidR="00A22C01" w:rsidRDefault="00A22C01">
            <w:pPr>
              <w:pStyle w:val="bmdsTblBody"/>
              <w:jc w:val="center"/>
            </w:pPr>
            <w:r>
              <w:rPr>
                <w:sz w:val="16"/>
              </w:rPr>
              <w:t>Viable</w:t>
            </w:r>
          </w:p>
        </w:tc>
      </w:tr>
      <w:tr w:rsidR="00A22C01" w14:paraId="6625A30E" w14:textId="77777777" w:rsidTr="00776E73">
        <w:tc>
          <w:tcPr>
            <w:tcW w:w="2697" w:type="dxa"/>
            <w:vAlign w:val="center"/>
            <w:hideMark/>
          </w:tcPr>
          <w:p w14:paraId="44392A19" w14:textId="77777777" w:rsidR="00A22C01" w:rsidRDefault="00A22C01">
            <w:pPr>
              <w:pStyle w:val="bmdsTblBody"/>
              <w:jc w:val="center"/>
            </w:pPr>
            <w:r>
              <w:rPr>
                <w:sz w:val="16"/>
              </w:rPr>
              <w:t>High BMDL</w:t>
            </w:r>
          </w:p>
        </w:tc>
        <w:tc>
          <w:tcPr>
            <w:tcW w:w="2946" w:type="dxa"/>
            <w:vAlign w:val="center"/>
            <w:hideMark/>
          </w:tcPr>
          <w:p w14:paraId="6010CF61" w14:textId="77777777" w:rsidR="00A22C01" w:rsidRDefault="00A22C01">
            <w:pPr>
              <w:pStyle w:val="bmdsTblBody"/>
              <w:jc w:val="center"/>
            </w:pPr>
            <w:r>
              <w:rPr>
                <w:sz w:val="16"/>
              </w:rPr>
              <w:t>The BMDL is &lt;N times higher than the maximum dose.</w:t>
            </w:r>
          </w:p>
        </w:tc>
        <w:tc>
          <w:tcPr>
            <w:tcW w:w="1862" w:type="dxa"/>
            <w:vAlign w:val="center"/>
            <w:hideMark/>
          </w:tcPr>
          <w:p w14:paraId="7FF0B552" w14:textId="77777777" w:rsidR="00A22C01" w:rsidRDefault="00A22C01">
            <w:pPr>
              <w:pStyle w:val="bmdsTblBody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1855" w:type="dxa"/>
            <w:vAlign w:val="center"/>
            <w:hideMark/>
          </w:tcPr>
          <w:p w14:paraId="5068F902" w14:textId="77777777" w:rsidR="00A22C01" w:rsidRDefault="00A22C01">
            <w:pPr>
              <w:pStyle w:val="bmdsTblBody"/>
              <w:jc w:val="center"/>
            </w:pPr>
            <w:r>
              <w:rPr>
                <w:sz w:val="16"/>
              </w:rPr>
              <w:t>Viable</w:t>
            </w:r>
          </w:p>
        </w:tc>
      </w:tr>
      <w:tr w:rsidR="00A22C01" w14:paraId="61EB98E3" w14:textId="77777777" w:rsidTr="00776E73">
        <w:tc>
          <w:tcPr>
            <w:tcW w:w="2697" w:type="dxa"/>
            <w:vAlign w:val="center"/>
            <w:hideMark/>
          </w:tcPr>
          <w:p w14:paraId="4CED4E6A" w14:textId="77777777" w:rsidR="00A22C01" w:rsidRDefault="00A22C01">
            <w:pPr>
              <w:pStyle w:val="bmdsTblBody"/>
              <w:jc w:val="center"/>
            </w:pPr>
            <w:r>
              <w:rPr>
                <w:sz w:val="16"/>
              </w:rPr>
              <w:t>High BMD</w:t>
            </w:r>
          </w:p>
        </w:tc>
        <w:tc>
          <w:tcPr>
            <w:tcW w:w="2946" w:type="dxa"/>
            <w:vAlign w:val="center"/>
            <w:hideMark/>
          </w:tcPr>
          <w:p w14:paraId="46E61BCA" w14:textId="77777777" w:rsidR="00A22C01" w:rsidRDefault="00A22C01">
            <w:pPr>
              <w:pStyle w:val="bmdsTblBody"/>
              <w:jc w:val="center"/>
            </w:pPr>
            <w:r>
              <w:rPr>
                <w:sz w:val="16"/>
              </w:rPr>
              <w:t>The BMD is &lt;N times higher than the maximum dose.</w:t>
            </w:r>
          </w:p>
        </w:tc>
        <w:tc>
          <w:tcPr>
            <w:tcW w:w="1862" w:type="dxa"/>
            <w:vAlign w:val="center"/>
            <w:hideMark/>
          </w:tcPr>
          <w:p w14:paraId="04C4E1B6" w14:textId="77777777" w:rsidR="00A22C01" w:rsidRDefault="00A22C01">
            <w:pPr>
              <w:pStyle w:val="bmdsTblBody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1855" w:type="dxa"/>
            <w:vAlign w:val="center"/>
            <w:hideMark/>
          </w:tcPr>
          <w:p w14:paraId="1013C7FB" w14:textId="77777777" w:rsidR="00A22C01" w:rsidRDefault="00A22C01">
            <w:pPr>
              <w:pStyle w:val="bmdsTblBody"/>
              <w:jc w:val="center"/>
            </w:pPr>
            <w:r>
              <w:rPr>
                <w:sz w:val="16"/>
              </w:rPr>
              <w:t>Viable</w:t>
            </w:r>
          </w:p>
        </w:tc>
      </w:tr>
      <w:tr w:rsidR="00A22C01" w14:paraId="2A3A1AD1" w14:textId="77777777" w:rsidTr="00776E73">
        <w:tc>
          <w:tcPr>
            <w:tcW w:w="2697" w:type="dxa"/>
            <w:vAlign w:val="center"/>
            <w:hideMark/>
          </w:tcPr>
          <w:p w14:paraId="6B1BC608" w14:textId="77777777" w:rsidR="00A22C01" w:rsidRDefault="00A22C01">
            <w:pPr>
              <w:pStyle w:val="bmdsTblBody"/>
              <w:jc w:val="center"/>
            </w:pPr>
            <w:r>
              <w:rPr>
                <w:sz w:val="16"/>
              </w:rPr>
              <w:t>Low BMD</w:t>
            </w:r>
          </w:p>
        </w:tc>
        <w:tc>
          <w:tcPr>
            <w:tcW w:w="2946" w:type="dxa"/>
            <w:vAlign w:val="center"/>
            <w:hideMark/>
          </w:tcPr>
          <w:p w14:paraId="23891B1E" w14:textId="77777777" w:rsidR="00A22C01" w:rsidRDefault="00A22C01">
            <w:pPr>
              <w:pStyle w:val="bmdsTblBody"/>
              <w:jc w:val="center"/>
            </w:pPr>
            <w:r>
              <w:rPr>
                <w:sz w:val="16"/>
              </w:rPr>
              <w:t>The BMD is &lt;N times lower than the minimum nonzero dose.</w:t>
            </w:r>
          </w:p>
        </w:tc>
        <w:tc>
          <w:tcPr>
            <w:tcW w:w="1862" w:type="dxa"/>
            <w:vAlign w:val="center"/>
            <w:hideMark/>
          </w:tcPr>
          <w:p w14:paraId="5DE20B43" w14:textId="77777777" w:rsidR="00A22C01" w:rsidRDefault="00A22C01">
            <w:pPr>
              <w:pStyle w:val="bmdsTblBody"/>
              <w:jc w:val="center"/>
            </w:pPr>
            <w:r>
              <w:rPr>
                <w:sz w:val="16"/>
              </w:rPr>
              <w:t>3</w:t>
            </w:r>
          </w:p>
        </w:tc>
        <w:tc>
          <w:tcPr>
            <w:tcW w:w="1855" w:type="dxa"/>
            <w:vAlign w:val="center"/>
            <w:hideMark/>
          </w:tcPr>
          <w:p w14:paraId="43D7007A" w14:textId="77777777" w:rsidR="00A22C01" w:rsidRDefault="00A22C01">
            <w:pPr>
              <w:pStyle w:val="bmdsTblBody"/>
              <w:jc w:val="center"/>
            </w:pPr>
            <w:r>
              <w:rPr>
                <w:sz w:val="16"/>
              </w:rPr>
              <w:t>Non-reportable</w:t>
            </w:r>
          </w:p>
        </w:tc>
      </w:tr>
      <w:tr w:rsidR="00A22C01" w14:paraId="1001D3E0" w14:textId="77777777" w:rsidTr="00776E73">
        <w:tc>
          <w:tcPr>
            <w:tcW w:w="2697" w:type="dxa"/>
            <w:vAlign w:val="center"/>
            <w:hideMark/>
          </w:tcPr>
          <w:p w14:paraId="12239D3E" w14:textId="77777777" w:rsidR="00A22C01" w:rsidRDefault="00A22C01">
            <w:pPr>
              <w:pStyle w:val="bmdsTblBody"/>
              <w:jc w:val="center"/>
            </w:pPr>
            <w:r>
              <w:rPr>
                <w:sz w:val="16"/>
              </w:rPr>
              <w:t>Control residual</w:t>
            </w:r>
          </w:p>
        </w:tc>
        <w:tc>
          <w:tcPr>
            <w:tcW w:w="2946" w:type="dxa"/>
            <w:vAlign w:val="center"/>
            <w:hideMark/>
          </w:tcPr>
          <w:p w14:paraId="7B541AC7" w14:textId="77777777" w:rsidR="00A22C01" w:rsidRDefault="00A22C01">
            <w:pPr>
              <w:pStyle w:val="bmdsTblBody"/>
              <w:jc w:val="center"/>
            </w:pPr>
            <w:r>
              <w:rPr>
                <w:sz w:val="16"/>
              </w:rPr>
              <w:t>The residual at control is small (residual &lt; N).</w:t>
            </w:r>
          </w:p>
        </w:tc>
        <w:tc>
          <w:tcPr>
            <w:tcW w:w="1862" w:type="dxa"/>
            <w:vAlign w:val="center"/>
            <w:hideMark/>
          </w:tcPr>
          <w:p w14:paraId="64943A87" w14:textId="77777777" w:rsidR="00A22C01" w:rsidRDefault="00A22C01">
            <w:pPr>
              <w:pStyle w:val="bmdsTblBody"/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1855" w:type="dxa"/>
            <w:vAlign w:val="center"/>
            <w:hideMark/>
          </w:tcPr>
          <w:p w14:paraId="25963F29" w14:textId="77777777" w:rsidR="00A22C01" w:rsidRDefault="00A22C01">
            <w:pPr>
              <w:pStyle w:val="bmdsTblBody"/>
              <w:jc w:val="center"/>
            </w:pPr>
            <w:r>
              <w:rPr>
                <w:sz w:val="16"/>
              </w:rPr>
              <w:t>Nonviable</w:t>
            </w:r>
          </w:p>
        </w:tc>
      </w:tr>
      <w:tr w:rsidR="00A22C01" w14:paraId="68C1A65C" w14:textId="77777777" w:rsidTr="00776E73">
        <w:tc>
          <w:tcPr>
            <w:tcW w:w="2697" w:type="dxa"/>
            <w:vAlign w:val="center"/>
            <w:hideMark/>
          </w:tcPr>
          <w:p w14:paraId="3129F2E5" w14:textId="77777777" w:rsidR="00A22C01" w:rsidRDefault="00A22C01">
            <w:pPr>
              <w:pStyle w:val="bmdsTblBody"/>
              <w:jc w:val="center"/>
            </w:pPr>
            <w:r>
              <w:rPr>
                <w:sz w:val="16"/>
              </w:rPr>
              <w:t>Control standard deviation</w:t>
            </w:r>
          </w:p>
        </w:tc>
        <w:tc>
          <w:tcPr>
            <w:tcW w:w="2946" w:type="dxa"/>
            <w:vAlign w:val="center"/>
            <w:hideMark/>
          </w:tcPr>
          <w:p w14:paraId="31580FB6" w14:textId="77777777" w:rsidR="00A22C01" w:rsidRDefault="00A22C01">
            <w:pPr>
              <w:pStyle w:val="bmdsTblBody"/>
              <w:jc w:val="center"/>
            </w:pPr>
            <w:r>
              <w:rPr>
                <w:sz w:val="16"/>
              </w:rPr>
              <w:t>The modeled standard deviation is similar to the actual (&lt;N times different).</w:t>
            </w:r>
          </w:p>
        </w:tc>
        <w:tc>
          <w:tcPr>
            <w:tcW w:w="1862" w:type="dxa"/>
            <w:vAlign w:val="center"/>
            <w:hideMark/>
          </w:tcPr>
          <w:p w14:paraId="1A5F8EC3" w14:textId="77777777" w:rsidR="00A22C01" w:rsidRDefault="00A22C01">
            <w:pPr>
              <w:pStyle w:val="bmdsTblBody"/>
              <w:jc w:val="center"/>
            </w:pPr>
            <w:r>
              <w:rPr>
                <w:sz w:val="16"/>
              </w:rPr>
              <w:t>1.5</w:t>
            </w:r>
          </w:p>
        </w:tc>
        <w:tc>
          <w:tcPr>
            <w:tcW w:w="1855" w:type="dxa"/>
            <w:vAlign w:val="center"/>
            <w:hideMark/>
          </w:tcPr>
          <w:p w14:paraId="5EF499EB" w14:textId="77777777" w:rsidR="00A22C01" w:rsidRDefault="00A22C01">
            <w:pPr>
              <w:pStyle w:val="bmdsTblBody"/>
              <w:jc w:val="center"/>
            </w:pPr>
            <w:r>
              <w:rPr>
                <w:sz w:val="16"/>
              </w:rPr>
              <w:t>Nonviable</w:t>
            </w:r>
          </w:p>
        </w:tc>
      </w:tr>
      <w:tr w:rsidR="00A22C01" w14:paraId="4E38C28D" w14:textId="77777777" w:rsidTr="00776E73">
        <w:tc>
          <w:tcPr>
            <w:tcW w:w="2697" w:type="dxa"/>
            <w:vAlign w:val="center"/>
            <w:hideMark/>
          </w:tcPr>
          <w:p w14:paraId="6817F707" w14:textId="77777777" w:rsidR="00A22C01" w:rsidRDefault="00A22C01">
            <w:pPr>
              <w:pStyle w:val="bmdsTblBody"/>
              <w:jc w:val="center"/>
            </w:pPr>
            <w:r>
              <w:rPr>
                <w:sz w:val="16"/>
              </w:rPr>
              <w:t>Residual of interest</w:t>
            </w:r>
          </w:p>
        </w:tc>
        <w:tc>
          <w:tcPr>
            <w:tcW w:w="2946" w:type="dxa"/>
            <w:vAlign w:val="center"/>
            <w:hideMark/>
          </w:tcPr>
          <w:p w14:paraId="7A6CBF0D" w14:textId="77777777" w:rsidR="00A22C01" w:rsidRDefault="00A22C01">
            <w:pPr>
              <w:pStyle w:val="bmdsTblBody"/>
              <w:jc w:val="center"/>
            </w:pPr>
            <w:r>
              <w:rPr>
                <w:sz w:val="16"/>
              </w:rPr>
              <w:t>The residual at the dose group closest to the BMD (i.e., the residual of interest) is small (residual &lt; N).</w:t>
            </w:r>
          </w:p>
        </w:tc>
        <w:tc>
          <w:tcPr>
            <w:tcW w:w="1862" w:type="dxa"/>
            <w:vAlign w:val="center"/>
            <w:hideMark/>
          </w:tcPr>
          <w:p w14:paraId="38EA4B10" w14:textId="77777777" w:rsidR="00A22C01" w:rsidRDefault="00A22C01">
            <w:pPr>
              <w:pStyle w:val="bmdsTblBody"/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1855" w:type="dxa"/>
            <w:vAlign w:val="center"/>
            <w:hideMark/>
          </w:tcPr>
          <w:p w14:paraId="0F4E69AD" w14:textId="77777777" w:rsidR="00A22C01" w:rsidRDefault="00A22C01">
            <w:pPr>
              <w:pStyle w:val="bmdsTblBody"/>
              <w:jc w:val="center"/>
            </w:pPr>
            <w:r>
              <w:rPr>
                <w:sz w:val="16"/>
              </w:rPr>
              <w:t>Nonviable</w:t>
            </w:r>
          </w:p>
        </w:tc>
      </w:tr>
      <w:tr w:rsidR="00A22C01" w14:paraId="3375EB4F" w14:textId="77777777" w:rsidTr="00776E73">
        <w:tc>
          <w:tcPr>
            <w:tcW w:w="2697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728C779B" w14:textId="77777777" w:rsidR="00A22C01" w:rsidRDefault="00A22C01">
            <w:pPr>
              <w:pStyle w:val="bmdsTblBody"/>
              <w:jc w:val="center"/>
            </w:pPr>
            <w:r>
              <w:rPr>
                <w:sz w:val="16"/>
              </w:rPr>
              <w:t>No warnings reported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11D57417" w14:textId="77777777" w:rsidR="00A22C01" w:rsidRDefault="00A22C01">
            <w:pPr>
              <w:pStyle w:val="bmdsTblBody"/>
              <w:jc w:val="center"/>
            </w:pPr>
            <w:r>
              <w:rPr>
                <w:sz w:val="16"/>
              </w:rPr>
              <w:t>No warnings in the BMD model system were reported.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44D356B8" w14:textId="77777777" w:rsidR="00A22C01" w:rsidRDefault="00A22C01">
            <w:pPr>
              <w:pStyle w:val="bmdsTblBody"/>
              <w:jc w:val="center"/>
            </w:pPr>
            <w:r>
              <w:rPr>
                <w:sz w:val="16"/>
              </w:rPr>
              <w:t>N/A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7AB2ABCE" w14:textId="77777777" w:rsidR="00A22C01" w:rsidRDefault="00A22C01">
            <w:pPr>
              <w:pStyle w:val="bmdsTblBody"/>
              <w:jc w:val="center"/>
            </w:pPr>
            <w:r>
              <w:rPr>
                <w:sz w:val="16"/>
              </w:rPr>
              <w:t>Viable</w:t>
            </w:r>
          </w:p>
        </w:tc>
      </w:tr>
    </w:tbl>
    <w:p w14:paraId="7C65FE9D" w14:textId="77777777" w:rsidR="00C505B6" w:rsidRDefault="00776E73"/>
    <w:sectPr w:rsidR="00C505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C74"/>
    <w:rsid w:val="0021102E"/>
    <w:rsid w:val="00776E73"/>
    <w:rsid w:val="00A22C01"/>
    <w:rsid w:val="00E45C74"/>
    <w:rsid w:val="00F50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117B1E-D24F-49BD-8028-9DE5A1B6E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C01"/>
    <w:pPr>
      <w:spacing w:after="0" w:line="240" w:lineRule="auto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22C01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A22C01"/>
    <w:rPr>
      <w:rFonts w:eastAsiaTheme="majorEastAsia" w:cstheme="majorBidi"/>
      <w:b/>
      <w:color w:val="000000" w:themeColor="text1"/>
      <w:sz w:val="24"/>
      <w:szCs w:val="24"/>
    </w:rPr>
  </w:style>
  <w:style w:type="paragraph" w:customStyle="1" w:styleId="bmdsTblBody">
    <w:name w:val="bmdsTblBody"/>
    <w:basedOn w:val="Normal"/>
    <w:qFormat/>
    <w:rsid w:val="00A22C01"/>
    <w:rPr>
      <w:rFonts w:ascii="Times New Roman" w:hAnsi="Times New Roman"/>
      <w:sz w:val="18"/>
    </w:rPr>
  </w:style>
  <w:style w:type="paragraph" w:customStyle="1" w:styleId="bmdsTblHeader">
    <w:name w:val="bmdsTblHeader"/>
    <w:basedOn w:val="bmdsTblBody"/>
    <w:qFormat/>
    <w:rsid w:val="00A22C01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37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He, Shihan (NIH/NIEHS) [C]</dc:creator>
  <cp:keywords/>
  <dc:description/>
  <cp:lastModifiedBy>He, Shihan (NIH/NIEHS) [C]</cp:lastModifiedBy>
  <cp:revision>3</cp:revision>
  <dcterms:created xsi:type="dcterms:W3CDTF">2021-05-21T14:06:00Z</dcterms:created>
  <dcterms:modified xsi:type="dcterms:W3CDTF">2021-07-16T05:16:00Z</dcterms:modified>
</cp:coreProperties>
</file>