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690F" w14:textId="77777777" w:rsidR="006E1AAB" w:rsidRDefault="006E1AAB" w:rsidP="006E1AAB">
      <w:pPr>
        <w:pStyle w:val="Heading3"/>
      </w:pPr>
      <w:r>
        <w:t>Top 10 Genes Ranked by Potency of Perturbation (Sorted by BMD Median)</w:t>
      </w:r>
    </w:p>
    <w:tbl>
      <w:tblPr>
        <w:tblW w:w="0" w:type="auto"/>
        <w:tblLook w:val="04A0" w:firstRow="1" w:lastRow="0" w:firstColumn="1" w:lastColumn="0" w:noHBand="0" w:noVBand="1"/>
      </w:tblPr>
      <w:tblGrid>
        <w:gridCol w:w="1418"/>
        <w:gridCol w:w="1352"/>
        <w:gridCol w:w="2689"/>
        <w:gridCol w:w="1330"/>
        <w:gridCol w:w="1262"/>
        <w:gridCol w:w="1309"/>
      </w:tblGrid>
      <w:tr w:rsidR="006E1AAB" w14:paraId="42FAF368" w14:textId="77777777" w:rsidTr="006E1AAB">
        <w:tc>
          <w:tcPr>
            <w:tcW w:w="1418" w:type="dxa"/>
            <w:tcBorders>
              <w:top w:val="single" w:sz="2" w:space="0" w:color="000000"/>
              <w:left w:val="nil"/>
              <w:bottom w:val="single" w:sz="2" w:space="0" w:color="000000"/>
              <w:right w:val="nil"/>
            </w:tcBorders>
            <w:vAlign w:val="center"/>
            <w:hideMark/>
          </w:tcPr>
          <w:p w14:paraId="26A529E9" w14:textId="77777777" w:rsidR="006E1AAB" w:rsidRDefault="006E1AAB">
            <w:pPr>
              <w:pStyle w:val="bmdsTblBody"/>
            </w:pPr>
            <w:r>
              <w:rPr>
                <w:b/>
              </w:rPr>
              <w:t>Gene Symbol</w:t>
            </w:r>
          </w:p>
        </w:tc>
        <w:tc>
          <w:tcPr>
            <w:tcW w:w="1352" w:type="dxa"/>
            <w:tcBorders>
              <w:top w:val="single" w:sz="2" w:space="0" w:color="000000"/>
              <w:left w:val="nil"/>
              <w:bottom w:val="single" w:sz="2" w:space="0" w:color="000000"/>
              <w:right w:val="nil"/>
            </w:tcBorders>
            <w:vAlign w:val="center"/>
            <w:hideMark/>
          </w:tcPr>
          <w:p w14:paraId="294591BC" w14:textId="77777777" w:rsidR="006E1AAB" w:rsidRDefault="006E1AAB">
            <w:pPr>
              <w:pStyle w:val="bmdsTblHeader"/>
              <w:jc w:val="center"/>
            </w:pPr>
            <w:r>
              <w:t>Entrez Gene IDs</w:t>
            </w:r>
          </w:p>
        </w:tc>
        <w:tc>
          <w:tcPr>
            <w:tcW w:w="2689" w:type="dxa"/>
            <w:tcBorders>
              <w:top w:val="single" w:sz="2" w:space="0" w:color="000000"/>
              <w:left w:val="nil"/>
              <w:bottom w:val="single" w:sz="2" w:space="0" w:color="000000"/>
              <w:right w:val="nil"/>
            </w:tcBorders>
            <w:vAlign w:val="center"/>
            <w:hideMark/>
          </w:tcPr>
          <w:p w14:paraId="6CF494B6" w14:textId="77777777" w:rsidR="006E1AAB" w:rsidRDefault="006E1AAB">
            <w:pPr>
              <w:pStyle w:val="bmdsTblHeader"/>
              <w:jc w:val="center"/>
            </w:pPr>
            <w:r>
              <w:t>Probe IDs</w:t>
            </w:r>
          </w:p>
        </w:tc>
        <w:tc>
          <w:tcPr>
            <w:tcW w:w="1330" w:type="dxa"/>
            <w:tcBorders>
              <w:top w:val="single" w:sz="2" w:space="0" w:color="000000"/>
              <w:left w:val="nil"/>
              <w:bottom w:val="single" w:sz="2" w:space="0" w:color="000000"/>
              <w:right w:val="nil"/>
            </w:tcBorders>
            <w:vAlign w:val="center"/>
            <w:hideMark/>
          </w:tcPr>
          <w:p w14:paraId="7DFA0BE4" w14:textId="77777777" w:rsidR="006E1AAB" w:rsidRDefault="006E1AAB">
            <w:pPr>
              <w:pStyle w:val="bmdsTblHeader"/>
              <w:jc w:val="center"/>
            </w:pPr>
            <w:proofErr w:type="spellStart"/>
            <w:r>
              <w:t>BMD</w:t>
            </w:r>
            <w:r>
              <w:rPr>
                <w:vertAlign w:val="subscript"/>
              </w:rPr>
              <w:t>1Std</w:t>
            </w:r>
            <w:proofErr w:type="spellEnd"/>
            <w:r>
              <w:t xml:space="preserve"> (</w:t>
            </w:r>
            <w:proofErr w:type="spellStart"/>
            <w:r>
              <w:t>BMDL</w:t>
            </w:r>
            <w:r>
              <w:rPr>
                <w:vertAlign w:val="subscript"/>
              </w:rPr>
              <w:t>1std</w:t>
            </w:r>
            <w:r>
              <w:t>-BMDU</w:t>
            </w:r>
            <w:r>
              <w:rPr>
                <w:vertAlign w:val="subscript"/>
              </w:rPr>
              <w:t>1std</w:t>
            </w:r>
            <w:proofErr w:type="spellEnd"/>
            <w:r>
              <w:t>) in mg/kg</w:t>
            </w:r>
          </w:p>
        </w:tc>
        <w:tc>
          <w:tcPr>
            <w:tcW w:w="1262" w:type="dxa"/>
            <w:tcBorders>
              <w:top w:val="single" w:sz="2" w:space="0" w:color="000000"/>
              <w:left w:val="nil"/>
              <w:bottom w:val="single" w:sz="2" w:space="0" w:color="000000"/>
              <w:right w:val="nil"/>
            </w:tcBorders>
            <w:vAlign w:val="center"/>
            <w:hideMark/>
          </w:tcPr>
          <w:p w14:paraId="7CA71ABE" w14:textId="77777777" w:rsidR="006E1AAB" w:rsidRDefault="006E1AAB">
            <w:pPr>
              <w:pStyle w:val="bmdsTblHeader"/>
              <w:jc w:val="center"/>
            </w:pPr>
            <w:r>
              <w:t>Maximum Fold Change</w:t>
            </w:r>
          </w:p>
        </w:tc>
        <w:tc>
          <w:tcPr>
            <w:tcW w:w="1309" w:type="dxa"/>
            <w:tcBorders>
              <w:top w:val="single" w:sz="2" w:space="0" w:color="000000"/>
              <w:left w:val="nil"/>
              <w:bottom w:val="single" w:sz="2" w:space="0" w:color="000000"/>
              <w:right w:val="nil"/>
            </w:tcBorders>
            <w:vAlign w:val="center"/>
            <w:hideMark/>
          </w:tcPr>
          <w:p w14:paraId="31B9E109" w14:textId="77777777" w:rsidR="006E1AAB" w:rsidRDefault="006E1AAB">
            <w:pPr>
              <w:pStyle w:val="bmdsTblHeader"/>
              <w:jc w:val="center"/>
            </w:pPr>
            <w:r>
              <w:t>Direction of Expression Change</w:t>
            </w:r>
          </w:p>
        </w:tc>
      </w:tr>
      <w:tr w:rsidR="006E1AAB" w14:paraId="2796A636" w14:textId="77777777" w:rsidTr="006E1AAB">
        <w:tc>
          <w:tcPr>
            <w:tcW w:w="1418" w:type="dxa"/>
            <w:vAlign w:val="center"/>
            <w:hideMark/>
          </w:tcPr>
          <w:p w14:paraId="3058AE28" w14:textId="77777777" w:rsidR="006E1AAB" w:rsidRDefault="006E1AAB">
            <w:pPr>
              <w:pStyle w:val="bmdsTblBody"/>
            </w:pPr>
            <w:proofErr w:type="spellStart"/>
            <w:r>
              <w:rPr>
                <w:b/>
              </w:rPr>
              <w:t>Fer1l5</w:t>
            </w:r>
            <w:proofErr w:type="spellEnd"/>
          </w:p>
        </w:tc>
        <w:tc>
          <w:tcPr>
            <w:tcW w:w="1352" w:type="dxa"/>
            <w:vAlign w:val="center"/>
            <w:hideMark/>
          </w:tcPr>
          <w:p w14:paraId="551DF20C" w14:textId="77777777" w:rsidR="006E1AAB" w:rsidRDefault="006E1AAB">
            <w:pPr>
              <w:pStyle w:val="bmdsTblBody"/>
              <w:jc w:val="center"/>
            </w:pPr>
            <w:r>
              <w:rPr>
                <w:sz w:val="16"/>
              </w:rPr>
              <w:t>679806</w:t>
            </w:r>
          </w:p>
        </w:tc>
        <w:tc>
          <w:tcPr>
            <w:tcW w:w="2689" w:type="dxa"/>
            <w:vAlign w:val="center"/>
            <w:hideMark/>
          </w:tcPr>
          <w:p w14:paraId="78DB9511" w14:textId="77777777" w:rsidR="006E1AAB" w:rsidRDefault="006E1AAB">
            <w:pPr>
              <w:pStyle w:val="bmdsTblBody"/>
              <w:jc w:val="center"/>
            </w:pPr>
            <w:proofErr w:type="spellStart"/>
            <w:r>
              <w:rPr>
                <w:sz w:val="16"/>
              </w:rPr>
              <w:t>1396729_at</w:t>
            </w:r>
            <w:proofErr w:type="spellEnd"/>
          </w:p>
        </w:tc>
        <w:tc>
          <w:tcPr>
            <w:tcW w:w="1330" w:type="dxa"/>
            <w:vAlign w:val="center"/>
            <w:hideMark/>
          </w:tcPr>
          <w:p w14:paraId="1AF29DCC" w14:textId="77777777" w:rsidR="006E1AAB" w:rsidRDefault="006E1AAB">
            <w:pPr>
              <w:pStyle w:val="bmdsTblBody"/>
              <w:jc w:val="center"/>
            </w:pPr>
            <w:r>
              <w:rPr>
                <w:sz w:val="16"/>
              </w:rPr>
              <w:t>&lt;20.7 (NR)</w:t>
            </w:r>
          </w:p>
        </w:tc>
        <w:tc>
          <w:tcPr>
            <w:tcW w:w="1262" w:type="dxa"/>
            <w:vAlign w:val="center"/>
            <w:hideMark/>
          </w:tcPr>
          <w:p w14:paraId="689C4EE2" w14:textId="77777777" w:rsidR="006E1AAB" w:rsidRDefault="006E1AAB">
            <w:pPr>
              <w:pStyle w:val="bmdsTblBody"/>
              <w:jc w:val="center"/>
            </w:pPr>
            <w:r>
              <w:rPr>
                <w:sz w:val="16"/>
              </w:rPr>
              <w:t>2.2</w:t>
            </w:r>
          </w:p>
        </w:tc>
        <w:tc>
          <w:tcPr>
            <w:tcW w:w="1309" w:type="dxa"/>
            <w:vAlign w:val="center"/>
            <w:hideMark/>
          </w:tcPr>
          <w:p w14:paraId="4F8B21A5" w14:textId="77777777" w:rsidR="006E1AAB" w:rsidRDefault="006E1AAB">
            <w:pPr>
              <w:pStyle w:val="bmdsTblBody"/>
              <w:jc w:val="center"/>
            </w:pPr>
            <w:r>
              <w:rPr>
                <w:sz w:val="16"/>
              </w:rPr>
              <w:t>DOWN</w:t>
            </w:r>
          </w:p>
        </w:tc>
      </w:tr>
      <w:tr w:rsidR="006E1AAB" w14:paraId="577AF5D2" w14:textId="77777777" w:rsidTr="006E1AAB">
        <w:tc>
          <w:tcPr>
            <w:tcW w:w="1418" w:type="dxa"/>
            <w:vAlign w:val="center"/>
            <w:hideMark/>
          </w:tcPr>
          <w:p w14:paraId="59733557" w14:textId="77777777" w:rsidR="006E1AAB" w:rsidRDefault="006E1AAB">
            <w:pPr>
              <w:pStyle w:val="bmdsTblBody"/>
            </w:pPr>
            <w:proofErr w:type="spellStart"/>
            <w:r>
              <w:rPr>
                <w:b/>
              </w:rPr>
              <w:t>Gsta3</w:t>
            </w:r>
            <w:proofErr w:type="spellEnd"/>
          </w:p>
        </w:tc>
        <w:tc>
          <w:tcPr>
            <w:tcW w:w="1352" w:type="dxa"/>
            <w:vAlign w:val="center"/>
            <w:hideMark/>
          </w:tcPr>
          <w:p w14:paraId="33D22EA3" w14:textId="77777777" w:rsidR="006E1AAB" w:rsidRDefault="006E1AAB">
            <w:pPr>
              <w:pStyle w:val="bmdsTblBody"/>
              <w:jc w:val="center"/>
            </w:pPr>
            <w:r>
              <w:rPr>
                <w:sz w:val="16"/>
              </w:rPr>
              <w:t>494500</w:t>
            </w:r>
          </w:p>
        </w:tc>
        <w:tc>
          <w:tcPr>
            <w:tcW w:w="2689" w:type="dxa"/>
            <w:vAlign w:val="center"/>
            <w:hideMark/>
          </w:tcPr>
          <w:p w14:paraId="2153E980" w14:textId="77777777" w:rsidR="006E1AAB" w:rsidRDefault="006E1AAB">
            <w:pPr>
              <w:pStyle w:val="bmdsTblBody"/>
              <w:jc w:val="center"/>
            </w:pPr>
            <w:proofErr w:type="spellStart"/>
            <w:r>
              <w:rPr>
                <w:sz w:val="16"/>
              </w:rPr>
              <w:t>1371089_at</w:t>
            </w:r>
            <w:proofErr w:type="spellEnd"/>
          </w:p>
        </w:tc>
        <w:tc>
          <w:tcPr>
            <w:tcW w:w="1330" w:type="dxa"/>
            <w:vAlign w:val="center"/>
            <w:hideMark/>
          </w:tcPr>
          <w:p w14:paraId="2B319583" w14:textId="77777777" w:rsidR="006E1AAB" w:rsidRDefault="006E1AAB">
            <w:pPr>
              <w:pStyle w:val="bmdsTblBody"/>
              <w:jc w:val="center"/>
            </w:pPr>
            <w:r>
              <w:rPr>
                <w:sz w:val="16"/>
              </w:rPr>
              <w:t>&lt;20.7 (NR)</w:t>
            </w:r>
          </w:p>
        </w:tc>
        <w:tc>
          <w:tcPr>
            <w:tcW w:w="1262" w:type="dxa"/>
            <w:vAlign w:val="center"/>
            <w:hideMark/>
          </w:tcPr>
          <w:p w14:paraId="28419D68" w14:textId="77777777" w:rsidR="006E1AAB" w:rsidRDefault="006E1AAB">
            <w:pPr>
              <w:pStyle w:val="bmdsTblBody"/>
              <w:jc w:val="center"/>
            </w:pPr>
            <w:r>
              <w:rPr>
                <w:sz w:val="16"/>
              </w:rPr>
              <w:t>3.3</w:t>
            </w:r>
          </w:p>
        </w:tc>
        <w:tc>
          <w:tcPr>
            <w:tcW w:w="1309" w:type="dxa"/>
            <w:vAlign w:val="center"/>
            <w:hideMark/>
          </w:tcPr>
          <w:p w14:paraId="784057F3" w14:textId="77777777" w:rsidR="006E1AAB" w:rsidRDefault="006E1AAB">
            <w:pPr>
              <w:pStyle w:val="bmdsTblBody"/>
              <w:jc w:val="center"/>
            </w:pPr>
            <w:r>
              <w:rPr>
                <w:sz w:val="16"/>
              </w:rPr>
              <w:t>UP</w:t>
            </w:r>
          </w:p>
        </w:tc>
      </w:tr>
      <w:tr w:rsidR="006E1AAB" w14:paraId="1C95E8E1" w14:textId="77777777" w:rsidTr="006E1AAB">
        <w:tc>
          <w:tcPr>
            <w:tcW w:w="1418" w:type="dxa"/>
            <w:vAlign w:val="center"/>
            <w:hideMark/>
          </w:tcPr>
          <w:p w14:paraId="23354C89" w14:textId="77777777" w:rsidR="006E1AAB" w:rsidRDefault="006E1AAB">
            <w:pPr>
              <w:pStyle w:val="bmdsTblBody"/>
            </w:pPr>
            <w:proofErr w:type="spellStart"/>
            <w:r>
              <w:rPr>
                <w:b/>
              </w:rPr>
              <w:t>Ces2c</w:t>
            </w:r>
            <w:proofErr w:type="spellEnd"/>
          </w:p>
        </w:tc>
        <w:tc>
          <w:tcPr>
            <w:tcW w:w="1352" w:type="dxa"/>
            <w:vAlign w:val="center"/>
            <w:hideMark/>
          </w:tcPr>
          <w:p w14:paraId="4EC5F60A" w14:textId="77777777" w:rsidR="006E1AAB" w:rsidRDefault="006E1AAB">
            <w:pPr>
              <w:pStyle w:val="bmdsTblBody"/>
              <w:jc w:val="center"/>
            </w:pPr>
            <w:r>
              <w:rPr>
                <w:sz w:val="16"/>
              </w:rPr>
              <w:t>171118</w:t>
            </w:r>
          </w:p>
        </w:tc>
        <w:tc>
          <w:tcPr>
            <w:tcW w:w="2689" w:type="dxa"/>
            <w:vAlign w:val="center"/>
            <w:hideMark/>
          </w:tcPr>
          <w:p w14:paraId="1B7CC868" w14:textId="77777777" w:rsidR="006E1AAB" w:rsidRDefault="006E1AAB">
            <w:pPr>
              <w:pStyle w:val="bmdsTblBody"/>
              <w:jc w:val="center"/>
            </w:pPr>
            <w:proofErr w:type="spellStart"/>
            <w:r>
              <w:rPr>
                <w:sz w:val="16"/>
              </w:rPr>
              <w:t>1368905_at</w:t>
            </w:r>
            <w:proofErr w:type="spellEnd"/>
          </w:p>
        </w:tc>
        <w:tc>
          <w:tcPr>
            <w:tcW w:w="1330" w:type="dxa"/>
            <w:vAlign w:val="center"/>
            <w:hideMark/>
          </w:tcPr>
          <w:p w14:paraId="1D211167" w14:textId="77777777" w:rsidR="006E1AAB" w:rsidRDefault="006E1AAB">
            <w:pPr>
              <w:pStyle w:val="bmdsTblBody"/>
              <w:jc w:val="center"/>
            </w:pPr>
            <w:r>
              <w:rPr>
                <w:sz w:val="16"/>
              </w:rPr>
              <w:t>27.7 (18.7-48.5)</w:t>
            </w:r>
          </w:p>
        </w:tc>
        <w:tc>
          <w:tcPr>
            <w:tcW w:w="1262" w:type="dxa"/>
            <w:vAlign w:val="center"/>
            <w:hideMark/>
          </w:tcPr>
          <w:p w14:paraId="18A56B2C" w14:textId="77777777" w:rsidR="006E1AAB" w:rsidRDefault="006E1AAB">
            <w:pPr>
              <w:pStyle w:val="bmdsTblBody"/>
              <w:jc w:val="center"/>
            </w:pPr>
            <w:r>
              <w:rPr>
                <w:sz w:val="16"/>
              </w:rPr>
              <w:t>7.6</w:t>
            </w:r>
          </w:p>
        </w:tc>
        <w:tc>
          <w:tcPr>
            <w:tcW w:w="1309" w:type="dxa"/>
            <w:vAlign w:val="center"/>
            <w:hideMark/>
          </w:tcPr>
          <w:p w14:paraId="1D0D26CB" w14:textId="77777777" w:rsidR="006E1AAB" w:rsidRDefault="006E1AAB">
            <w:pPr>
              <w:pStyle w:val="bmdsTblBody"/>
              <w:jc w:val="center"/>
            </w:pPr>
            <w:r>
              <w:rPr>
                <w:sz w:val="16"/>
              </w:rPr>
              <w:t>UP</w:t>
            </w:r>
          </w:p>
        </w:tc>
      </w:tr>
      <w:tr w:rsidR="006E1AAB" w14:paraId="20AA766F" w14:textId="77777777" w:rsidTr="006E1AAB">
        <w:tc>
          <w:tcPr>
            <w:tcW w:w="1418" w:type="dxa"/>
            <w:vAlign w:val="center"/>
            <w:hideMark/>
          </w:tcPr>
          <w:p w14:paraId="3E13BCE1" w14:textId="77777777" w:rsidR="006E1AAB" w:rsidRDefault="006E1AAB">
            <w:pPr>
              <w:pStyle w:val="bmdsTblBody"/>
            </w:pPr>
            <w:proofErr w:type="spellStart"/>
            <w:r>
              <w:rPr>
                <w:b/>
              </w:rPr>
              <w:t>Abcc3</w:t>
            </w:r>
            <w:proofErr w:type="spellEnd"/>
          </w:p>
        </w:tc>
        <w:tc>
          <w:tcPr>
            <w:tcW w:w="1352" w:type="dxa"/>
            <w:vAlign w:val="center"/>
            <w:hideMark/>
          </w:tcPr>
          <w:p w14:paraId="1641E5F9" w14:textId="77777777" w:rsidR="006E1AAB" w:rsidRDefault="006E1AAB">
            <w:pPr>
              <w:pStyle w:val="bmdsTblBody"/>
              <w:jc w:val="center"/>
            </w:pPr>
            <w:r>
              <w:rPr>
                <w:sz w:val="16"/>
              </w:rPr>
              <w:t>140668</w:t>
            </w:r>
          </w:p>
        </w:tc>
        <w:tc>
          <w:tcPr>
            <w:tcW w:w="2689" w:type="dxa"/>
            <w:vAlign w:val="center"/>
            <w:hideMark/>
          </w:tcPr>
          <w:p w14:paraId="792039F3" w14:textId="77777777" w:rsidR="006E1AAB" w:rsidRDefault="006E1AAB">
            <w:pPr>
              <w:pStyle w:val="bmdsTblBody"/>
              <w:jc w:val="center"/>
            </w:pPr>
            <w:proofErr w:type="spellStart"/>
            <w:r>
              <w:rPr>
                <w:sz w:val="16"/>
              </w:rPr>
              <w:t>1369698_at</w:t>
            </w:r>
            <w:proofErr w:type="spellEnd"/>
          </w:p>
        </w:tc>
        <w:tc>
          <w:tcPr>
            <w:tcW w:w="1330" w:type="dxa"/>
            <w:vAlign w:val="center"/>
            <w:hideMark/>
          </w:tcPr>
          <w:p w14:paraId="645C1DD4" w14:textId="77777777" w:rsidR="006E1AAB" w:rsidRDefault="006E1AAB">
            <w:pPr>
              <w:pStyle w:val="bmdsTblBody"/>
              <w:jc w:val="center"/>
            </w:pPr>
            <w:r>
              <w:rPr>
                <w:sz w:val="16"/>
              </w:rPr>
              <w:t>32.1 (22.0-52.8)</w:t>
            </w:r>
          </w:p>
        </w:tc>
        <w:tc>
          <w:tcPr>
            <w:tcW w:w="1262" w:type="dxa"/>
            <w:vAlign w:val="center"/>
            <w:hideMark/>
          </w:tcPr>
          <w:p w14:paraId="3CF14647" w14:textId="77777777" w:rsidR="006E1AAB" w:rsidRDefault="006E1AAB">
            <w:pPr>
              <w:pStyle w:val="bmdsTblBody"/>
              <w:jc w:val="center"/>
            </w:pPr>
            <w:r>
              <w:rPr>
                <w:sz w:val="16"/>
              </w:rPr>
              <w:t>7.3</w:t>
            </w:r>
          </w:p>
        </w:tc>
        <w:tc>
          <w:tcPr>
            <w:tcW w:w="1309" w:type="dxa"/>
            <w:vAlign w:val="center"/>
            <w:hideMark/>
          </w:tcPr>
          <w:p w14:paraId="0F21D9BA" w14:textId="77777777" w:rsidR="006E1AAB" w:rsidRDefault="006E1AAB">
            <w:pPr>
              <w:pStyle w:val="bmdsTblBody"/>
              <w:jc w:val="center"/>
            </w:pPr>
            <w:r>
              <w:rPr>
                <w:sz w:val="16"/>
              </w:rPr>
              <w:t>UP</w:t>
            </w:r>
          </w:p>
        </w:tc>
      </w:tr>
      <w:tr w:rsidR="006E1AAB" w14:paraId="5BCDDB5E" w14:textId="77777777" w:rsidTr="006E1AAB">
        <w:tc>
          <w:tcPr>
            <w:tcW w:w="1418" w:type="dxa"/>
            <w:vAlign w:val="center"/>
            <w:hideMark/>
          </w:tcPr>
          <w:p w14:paraId="468E4D33" w14:textId="77777777" w:rsidR="006E1AAB" w:rsidRDefault="006E1AAB">
            <w:pPr>
              <w:pStyle w:val="bmdsTblBody"/>
            </w:pPr>
            <w:proofErr w:type="spellStart"/>
            <w:r>
              <w:rPr>
                <w:b/>
              </w:rPr>
              <w:t>Orm1</w:t>
            </w:r>
            <w:proofErr w:type="spellEnd"/>
          </w:p>
        </w:tc>
        <w:tc>
          <w:tcPr>
            <w:tcW w:w="1352" w:type="dxa"/>
            <w:vAlign w:val="center"/>
            <w:hideMark/>
          </w:tcPr>
          <w:p w14:paraId="5C34854D" w14:textId="77777777" w:rsidR="006E1AAB" w:rsidRDefault="006E1AAB">
            <w:pPr>
              <w:pStyle w:val="bmdsTblBody"/>
              <w:jc w:val="center"/>
            </w:pPr>
            <w:r>
              <w:rPr>
                <w:sz w:val="16"/>
              </w:rPr>
              <w:t>24614</w:t>
            </w:r>
          </w:p>
        </w:tc>
        <w:tc>
          <w:tcPr>
            <w:tcW w:w="2689" w:type="dxa"/>
            <w:vAlign w:val="center"/>
            <w:hideMark/>
          </w:tcPr>
          <w:p w14:paraId="65EACAC4" w14:textId="77777777" w:rsidR="006E1AAB" w:rsidRDefault="006E1AAB">
            <w:pPr>
              <w:pStyle w:val="bmdsTblBody"/>
              <w:jc w:val="center"/>
            </w:pPr>
            <w:proofErr w:type="spellStart"/>
            <w:r>
              <w:rPr>
                <w:sz w:val="16"/>
              </w:rPr>
              <w:t>1368731_at</w:t>
            </w:r>
            <w:proofErr w:type="spellEnd"/>
          </w:p>
        </w:tc>
        <w:tc>
          <w:tcPr>
            <w:tcW w:w="1330" w:type="dxa"/>
            <w:vAlign w:val="center"/>
            <w:hideMark/>
          </w:tcPr>
          <w:p w14:paraId="7B719B57" w14:textId="77777777" w:rsidR="006E1AAB" w:rsidRDefault="006E1AAB">
            <w:pPr>
              <w:pStyle w:val="bmdsTblBody"/>
              <w:jc w:val="center"/>
            </w:pPr>
            <w:r>
              <w:rPr>
                <w:sz w:val="16"/>
              </w:rPr>
              <w:t>32.6 (10.4-123.2)</w:t>
            </w:r>
          </w:p>
        </w:tc>
        <w:tc>
          <w:tcPr>
            <w:tcW w:w="1262" w:type="dxa"/>
            <w:vAlign w:val="center"/>
            <w:hideMark/>
          </w:tcPr>
          <w:p w14:paraId="50614626" w14:textId="77777777" w:rsidR="006E1AAB" w:rsidRDefault="006E1AAB">
            <w:pPr>
              <w:pStyle w:val="bmdsTblBody"/>
              <w:jc w:val="center"/>
            </w:pPr>
            <w:r>
              <w:rPr>
                <w:sz w:val="16"/>
              </w:rPr>
              <w:t>2.2</w:t>
            </w:r>
          </w:p>
        </w:tc>
        <w:tc>
          <w:tcPr>
            <w:tcW w:w="1309" w:type="dxa"/>
            <w:vAlign w:val="center"/>
            <w:hideMark/>
          </w:tcPr>
          <w:p w14:paraId="3ECD0F39" w14:textId="77777777" w:rsidR="006E1AAB" w:rsidRDefault="006E1AAB">
            <w:pPr>
              <w:pStyle w:val="bmdsTblBody"/>
              <w:jc w:val="center"/>
            </w:pPr>
            <w:r>
              <w:rPr>
                <w:sz w:val="16"/>
              </w:rPr>
              <w:t>UP</w:t>
            </w:r>
          </w:p>
        </w:tc>
      </w:tr>
      <w:tr w:rsidR="006E1AAB" w14:paraId="0D7682F9" w14:textId="77777777" w:rsidTr="006E1AAB">
        <w:tc>
          <w:tcPr>
            <w:tcW w:w="1418" w:type="dxa"/>
            <w:vAlign w:val="center"/>
            <w:hideMark/>
          </w:tcPr>
          <w:p w14:paraId="036580F1" w14:textId="77777777" w:rsidR="006E1AAB" w:rsidRDefault="006E1AAB">
            <w:pPr>
              <w:pStyle w:val="bmdsTblBody"/>
            </w:pPr>
            <w:proofErr w:type="spellStart"/>
            <w:r>
              <w:rPr>
                <w:b/>
              </w:rPr>
              <w:t>Mnd1</w:t>
            </w:r>
            <w:proofErr w:type="spellEnd"/>
          </w:p>
        </w:tc>
        <w:tc>
          <w:tcPr>
            <w:tcW w:w="1352" w:type="dxa"/>
            <w:vAlign w:val="center"/>
            <w:hideMark/>
          </w:tcPr>
          <w:p w14:paraId="68103E38" w14:textId="77777777" w:rsidR="006E1AAB" w:rsidRDefault="006E1AAB">
            <w:pPr>
              <w:pStyle w:val="bmdsTblBody"/>
              <w:jc w:val="center"/>
            </w:pPr>
            <w:r>
              <w:rPr>
                <w:sz w:val="16"/>
              </w:rPr>
              <w:t>295160</w:t>
            </w:r>
          </w:p>
        </w:tc>
        <w:tc>
          <w:tcPr>
            <w:tcW w:w="2689" w:type="dxa"/>
            <w:vAlign w:val="center"/>
            <w:hideMark/>
          </w:tcPr>
          <w:p w14:paraId="522FCBAD" w14:textId="77777777" w:rsidR="006E1AAB" w:rsidRDefault="006E1AAB">
            <w:pPr>
              <w:pStyle w:val="bmdsTblBody"/>
              <w:jc w:val="center"/>
            </w:pPr>
            <w:proofErr w:type="spellStart"/>
            <w:r>
              <w:rPr>
                <w:sz w:val="16"/>
              </w:rPr>
              <w:t>1391626_at</w:t>
            </w:r>
            <w:proofErr w:type="spellEnd"/>
          </w:p>
        </w:tc>
        <w:tc>
          <w:tcPr>
            <w:tcW w:w="1330" w:type="dxa"/>
            <w:vAlign w:val="center"/>
            <w:hideMark/>
          </w:tcPr>
          <w:p w14:paraId="0EA583D1" w14:textId="77777777" w:rsidR="006E1AAB" w:rsidRDefault="006E1AAB">
            <w:pPr>
              <w:pStyle w:val="bmdsTblBody"/>
              <w:jc w:val="center"/>
            </w:pPr>
            <w:r>
              <w:rPr>
                <w:sz w:val="16"/>
              </w:rPr>
              <w:t>33.8 (14.8-91.6)</w:t>
            </w:r>
          </w:p>
        </w:tc>
        <w:tc>
          <w:tcPr>
            <w:tcW w:w="1262" w:type="dxa"/>
            <w:vAlign w:val="center"/>
            <w:hideMark/>
          </w:tcPr>
          <w:p w14:paraId="7EBEA5D7" w14:textId="77777777" w:rsidR="006E1AAB" w:rsidRDefault="006E1AAB">
            <w:pPr>
              <w:pStyle w:val="bmdsTblBody"/>
              <w:jc w:val="center"/>
            </w:pPr>
            <w:r>
              <w:rPr>
                <w:sz w:val="16"/>
              </w:rPr>
              <w:t>2.3</w:t>
            </w:r>
          </w:p>
        </w:tc>
        <w:tc>
          <w:tcPr>
            <w:tcW w:w="1309" w:type="dxa"/>
            <w:vAlign w:val="center"/>
            <w:hideMark/>
          </w:tcPr>
          <w:p w14:paraId="72ED1CCB" w14:textId="77777777" w:rsidR="006E1AAB" w:rsidRDefault="006E1AAB">
            <w:pPr>
              <w:pStyle w:val="bmdsTblBody"/>
              <w:jc w:val="center"/>
            </w:pPr>
            <w:r>
              <w:rPr>
                <w:sz w:val="16"/>
              </w:rPr>
              <w:t>UP</w:t>
            </w:r>
          </w:p>
        </w:tc>
      </w:tr>
      <w:tr w:rsidR="006E1AAB" w14:paraId="574A8F3A" w14:textId="77777777" w:rsidTr="006E1AAB">
        <w:tc>
          <w:tcPr>
            <w:tcW w:w="1418" w:type="dxa"/>
            <w:vAlign w:val="center"/>
            <w:hideMark/>
          </w:tcPr>
          <w:p w14:paraId="168B3B3D" w14:textId="77777777" w:rsidR="006E1AAB" w:rsidRDefault="006E1AAB">
            <w:pPr>
              <w:pStyle w:val="bmdsTblBody"/>
            </w:pPr>
            <w:r>
              <w:rPr>
                <w:b/>
              </w:rPr>
              <w:t>App</w:t>
            </w:r>
          </w:p>
        </w:tc>
        <w:tc>
          <w:tcPr>
            <w:tcW w:w="1352" w:type="dxa"/>
            <w:vAlign w:val="center"/>
            <w:hideMark/>
          </w:tcPr>
          <w:p w14:paraId="766C5026" w14:textId="77777777" w:rsidR="006E1AAB" w:rsidRDefault="006E1AAB">
            <w:pPr>
              <w:pStyle w:val="bmdsTblBody"/>
              <w:jc w:val="center"/>
            </w:pPr>
            <w:r>
              <w:rPr>
                <w:sz w:val="16"/>
              </w:rPr>
              <w:t>54226</w:t>
            </w:r>
          </w:p>
        </w:tc>
        <w:tc>
          <w:tcPr>
            <w:tcW w:w="2689" w:type="dxa"/>
            <w:vAlign w:val="center"/>
            <w:hideMark/>
          </w:tcPr>
          <w:p w14:paraId="344BBC77" w14:textId="77777777" w:rsidR="006E1AAB" w:rsidRDefault="006E1AAB">
            <w:pPr>
              <w:pStyle w:val="bmdsTblBody"/>
              <w:jc w:val="center"/>
            </w:pPr>
            <w:proofErr w:type="spellStart"/>
            <w:r>
              <w:rPr>
                <w:sz w:val="16"/>
              </w:rPr>
              <w:t>1371571_at,1371572_at,1380533_at</w:t>
            </w:r>
            <w:proofErr w:type="spellEnd"/>
          </w:p>
        </w:tc>
        <w:tc>
          <w:tcPr>
            <w:tcW w:w="1330" w:type="dxa"/>
            <w:vAlign w:val="center"/>
            <w:hideMark/>
          </w:tcPr>
          <w:p w14:paraId="5889E20B" w14:textId="77777777" w:rsidR="006E1AAB" w:rsidRDefault="006E1AAB">
            <w:pPr>
              <w:pStyle w:val="bmdsTblBody"/>
              <w:jc w:val="center"/>
            </w:pPr>
            <w:r>
              <w:rPr>
                <w:sz w:val="16"/>
              </w:rPr>
              <w:t>37.7 (20.8-91.8)</w:t>
            </w:r>
          </w:p>
        </w:tc>
        <w:tc>
          <w:tcPr>
            <w:tcW w:w="1262" w:type="dxa"/>
            <w:vAlign w:val="center"/>
            <w:hideMark/>
          </w:tcPr>
          <w:p w14:paraId="3CB19E68" w14:textId="77777777" w:rsidR="006E1AAB" w:rsidRDefault="006E1AAB">
            <w:pPr>
              <w:pStyle w:val="bmdsTblBody"/>
              <w:jc w:val="center"/>
            </w:pPr>
            <w:r>
              <w:rPr>
                <w:sz w:val="16"/>
              </w:rPr>
              <w:t>3.3</w:t>
            </w:r>
          </w:p>
        </w:tc>
        <w:tc>
          <w:tcPr>
            <w:tcW w:w="1309" w:type="dxa"/>
            <w:vAlign w:val="center"/>
            <w:hideMark/>
          </w:tcPr>
          <w:p w14:paraId="0516D087" w14:textId="77777777" w:rsidR="006E1AAB" w:rsidRDefault="006E1AAB">
            <w:pPr>
              <w:pStyle w:val="bmdsTblBody"/>
              <w:jc w:val="center"/>
            </w:pPr>
            <w:r>
              <w:rPr>
                <w:sz w:val="16"/>
              </w:rPr>
              <w:t>UP</w:t>
            </w:r>
          </w:p>
        </w:tc>
      </w:tr>
      <w:tr w:rsidR="006E1AAB" w14:paraId="758B8B5E" w14:textId="77777777" w:rsidTr="006E1AAB">
        <w:tc>
          <w:tcPr>
            <w:tcW w:w="1418" w:type="dxa"/>
            <w:vAlign w:val="center"/>
            <w:hideMark/>
          </w:tcPr>
          <w:p w14:paraId="62658926" w14:textId="77777777" w:rsidR="006E1AAB" w:rsidRDefault="006E1AAB">
            <w:pPr>
              <w:pStyle w:val="bmdsTblBody"/>
            </w:pPr>
            <w:proofErr w:type="spellStart"/>
            <w:r>
              <w:rPr>
                <w:b/>
              </w:rPr>
              <w:t>Cyp7a1</w:t>
            </w:r>
            <w:proofErr w:type="spellEnd"/>
          </w:p>
        </w:tc>
        <w:tc>
          <w:tcPr>
            <w:tcW w:w="1352" w:type="dxa"/>
            <w:vAlign w:val="center"/>
            <w:hideMark/>
          </w:tcPr>
          <w:p w14:paraId="6C4B51EA" w14:textId="77777777" w:rsidR="006E1AAB" w:rsidRDefault="006E1AAB">
            <w:pPr>
              <w:pStyle w:val="bmdsTblBody"/>
              <w:jc w:val="center"/>
            </w:pPr>
            <w:r>
              <w:rPr>
                <w:sz w:val="16"/>
              </w:rPr>
              <w:t>25428</w:t>
            </w:r>
          </w:p>
        </w:tc>
        <w:tc>
          <w:tcPr>
            <w:tcW w:w="2689" w:type="dxa"/>
            <w:vAlign w:val="center"/>
            <w:hideMark/>
          </w:tcPr>
          <w:p w14:paraId="2092796B" w14:textId="77777777" w:rsidR="006E1AAB" w:rsidRDefault="006E1AAB">
            <w:pPr>
              <w:pStyle w:val="bmdsTblBody"/>
              <w:jc w:val="center"/>
            </w:pPr>
            <w:proofErr w:type="spellStart"/>
            <w:r>
              <w:rPr>
                <w:sz w:val="16"/>
              </w:rPr>
              <w:t>1368458_at</w:t>
            </w:r>
            <w:proofErr w:type="spellEnd"/>
          </w:p>
        </w:tc>
        <w:tc>
          <w:tcPr>
            <w:tcW w:w="1330" w:type="dxa"/>
            <w:vAlign w:val="center"/>
            <w:hideMark/>
          </w:tcPr>
          <w:p w14:paraId="2E48B7A4" w14:textId="77777777" w:rsidR="006E1AAB" w:rsidRDefault="006E1AAB">
            <w:pPr>
              <w:pStyle w:val="bmdsTblBody"/>
              <w:jc w:val="center"/>
            </w:pPr>
            <w:r>
              <w:rPr>
                <w:sz w:val="16"/>
              </w:rPr>
              <w:t>39.4 (17.3-109.9)</w:t>
            </w:r>
          </w:p>
        </w:tc>
        <w:tc>
          <w:tcPr>
            <w:tcW w:w="1262" w:type="dxa"/>
            <w:vAlign w:val="center"/>
            <w:hideMark/>
          </w:tcPr>
          <w:p w14:paraId="36B9EA24" w14:textId="77777777" w:rsidR="006E1AAB" w:rsidRDefault="006E1AAB">
            <w:pPr>
              <w:pStyle w:val="bmdsTblBody"/>
              <w:jc w:val="center"/>
            </w:pPr>
            <w:r>
              <w:rPr>
                <w:sz w:val="16"/>
              </w:rPr>
              <w:t>4.7</w:t>
            </w:r>
          </w:p>
        </w:tc>
        <w:tc>
          <w:tcPr>
            <w:tcW w:w="1309" w:type="dxa"/>
            <w:vAlign w:val="center"/>
            <w:hideMark/>
          </w:tcPr>
          <w:p w14:paraId="15583F92" w14:textId="77777777" w:rsidR="006E1AAB" w:rsidRDefault="006E1AAB">
            <w:pPr>
              <w:pStyle w:val="bmdsTblBody"/>
              <w:jc w:val="center"/>
            </w:pPr>
            <w:r>
              <w:rPr>
                <w:sz w:val="16"/>
              </w:rPr>
              <w:t>UP</w:t>
            </w:r>
          </w:p>
        </w:tc>
      </w:tr>
      <w:tr w:rsidR="006E1AAB" w14:paraId="707B9B2A" w14:textId="77777777" w:rsidTr="006E1AAB">
        <w:tc>
          <w:tcPr>
            <w:tcW w:w="1418" w:type="dxa"/>
            <w:vAlign w:val="center"/>
            <w:hideMark/>
          </w:tcPr>
          <w:p w14:paraId="056E925C" w14:textId="77777777" w:rsidR="006E1AAB" w:rsidRDefault="006E1AAB">
            <w:pPr>
              <w:pStyle w:val="bmdsTblBody"/>
            </w:pPr>
            <w:proofErr w:type="spellStart"/>
            <w:r>
              <w:rPr>
                <w:b/>
              </w:rPr>
              <w:t>Ddit4</w:t>
            </w:r>
            <w:proofErr w:type="spellEnd"/>
          </w:p>
        </w:tc>
        <w:tc>
          <w:tcPr>
            <w:tcW w:w="1352" w:type="dxa"/>
            <w:vAlign w:val="center"/>
            <w:hideMark/>
          </w:tcPr>
          <w:p w14:paraId="7DF1749D" w14:textId="77777777" w:rsidR="006E1AAB" w:rsidRDefault="006E1AAB">
            <w:pPr>
              <w:pStyle w:val="bmdsTblBody"/>
              <w:jc w:val="center"/>
            </w:pPr>
            <w:r>
              <w:rPr>
                <w:sz w:val="16"/>
              </w:rPr>
              <w:t>140942</w:t>
            </w:r>
          </w:p>
        </w:tc>
        <w:tc>
          <w:tcPr>
            <w:tcW w:w="2689" w:type="dxa"/>
            <w:vAlign w:val="center"/>
            <w:hideMark/>
          </w:tcPr>
          <w:p w14:paraId="331396C8" w14:textId="77777777" w:rsidR="006E1AAB" w:rsidRDefault="006E1AAB">
            <w:pPr>
              <w:pStyle w:val="bmdsTblBody"/>
              <w:jc w:val="center"/>
            </w:pPr>
            <w:proofErr w:type="spellStart"/>
            <w:r>
              <w:rPr>
                <w:sz w:val="16"/>
              </w:rPr>
              <w:t>1368025_at</w:t>
            </w:r>
            <w:proofErr w:type="spellEnd"/>
          </w:p>
        </w:tc>
        <w:tc>
          <w:tcPr>
            <w:tcW w:w="1330" w:type="dxa"/>
            <w:vAlign w:val="center"/>
            <w:hideMark/>
          </w:tcPr>
          <w:p w14:paraId="118C584A" w14:textId="77777777" w:rsidR="006E1AAB" w:rsidRDefault="006E1AAB">
            <w:pPr>
              <w:pStyle w:val="bmdsTblBody"/>
              <w:jc w:val="center"/>
            </w:pPr>
            <w:r>
              <w:rPr>
                <w:sz w:val="16"/>
              </w:rPr>
              <w:t>41.6 (9.5-185.5)</w:t>
            </w:r>
          </w:p>
        </w:tc>
        <w:tc>
          <w:tcPr>
            <w:tcW w:w="1262" w:type="dxa"/>
            <w:vAlign w:val="center"/>
            <w:hideMark/>
          </w:tcPr>
          <w:p w14:paraId="5023DC5C" w14:textId="77777777" w:rsidR="006E1AAB" w:rsidRDefault="006E1AAB">
            <w:pPr>
              <w:pStyle w:val="bmdsTblBody"/>
              <w:jc w:val="center"/>
            </w:pPr>
            <w:r>
              <w:rPr>
                <w:sz w:val="16"/>
              </w:rPr>
              <w:t>3.7</w:t>
            </w:r>
          </w:p>
        </w:tc>
        <w:tc>
          <w:tcPr>
            <w:tcW w:w="1309" w:type="dxa"/>
            <w:vAlign w:val="center"/>
            <w:hideMark/>
          </w:tcPr>
          <w:p w14:paraId="0AC98839" w14:textId="77777777" w:rsidR="006E1AAB" w:rsidRDefault="006E1AAB">
            <w:pPr>
              <w:pStyle w:val="bmdsTblBody"/>
              <w:jc w:val="center"/>
            </w:pPr>
            <w:r>
              <w:rPr>
                <w:sz w:val="16"/>
              </w:rPr>
              <w:t>UP</w:t>
            </w:r>
          </w:p>
        </w:tc>
      </w:tr>
      <w:tr w:rsidR="006E1AAB" w14:paraId="0943477A" w14:textId="77777777" w:rsidTr="006E1AAB">
        <w:tc>
          <w:tcPr>
            <w:tcW w:w="1418" w:type="dxa"/>
            <w:tcBorders>
              <w:top w:val="nil"/>
              <w:left w:val="nil"/>
              <w:bottom w:val="single" w:sz="2" w:space="0" w:color="000000"/>
              <w:right w:val="nil"/>
            </w:tcBorders>
            <w:vAlign w:val="center"/>
            <w:hideMark/>
          </w:tcPr>
          <w:p w14:paraId="50FC9DC2" w14:textId="77777777" w:rsidR="006E1AAB" w:rsidRDefault="006E1AAB">
            <w:pPr>
              <w:pStyle w:val="bmdsTblBody"/>
            </w:pPr>
            <w:proofErr w:type="spellStart"/>
            <w:r>
              <w:rPr>
                <w:b/>
              </w:rPr>
              <w:t>Gstt3</w:t>
            </w:r>
            <w:proofErr w:type="spellEnd"/>
          </w:p>
        </w:tc>
        <w:tc>
          <w:tcPr>
            <w:tcW w:w="1352" w:type="dxa"/>
            <w:tcBorders>
              <w:top w:val="nil"/>
              <w:left w:val="nil"/>
              <w:bottom w:val="single" w:sz="2" w:space="0" w:color="000000"/>
              <w:right w:val="nil"/>
            </w:tcBorders>
            <w:vAlign w:val="center"/>
            <w:hideMark/>
          </w:tcPr>
          <w:p w14:paraId="063CECED" w14:textId="77777777" w:rsidR="006E1AAB" w:rsidRDefault="006E1AAB">
            <w:pPr>
              <w:pStyle w:val="bmdsTblBody"/>
              <w:jc w:val="center"/>
            </w:pPr>
            <w:r>
              <w:rPr>
                <w:sz w:val="16"/>
              </w:rPr>
              <w:t>499422</w:t>
            </w:r>
          </w:p>
        </w:tc>
        <w:tc>
          <w:tcPr>
            <w:tcW w:w="2689" w:type="dxa"/>
            <w:tcBorders>
              <w:top w:val="nil"/>
              <w:left w:val="nil"/>
              <w:bottom w:val="single" w:sz="2" w:space="0" w:color="000000"/>
              <w:right w:val="nil"/>
            </w:tcBorders>
            <w:vAlign w:val="center"/>
            <w:hideMark/>
          </w:tcPr>
          <w:p w14:paraId="6A5A0494" w14:textId="77777777" w:rsidR="006E1AAB" w:rsidRDefault="006E1AAB">
            <w:pPr>
              <w:pStyle w:val="bmdsTblBody"/>
              <w:jc w:val="center"/>
            </w:pPr>
            <w:proofErr w:type="spellStart"/>
            <w:r>
              <w:rPr>
                <w:sz w:val="16"/>
              </w:rPr>
              <w:t>1371942_at</w:t>
            </w:r>
            <w:proofErr w:type="spellEnd"/>
          </w:p>
        </w:tc>
        <w:tc>
          <w:tcPr>
            <w:tcW w:w="1330" w:type="dxa"/>
            <w:tcBorders>
              <w:top w:val="nil"/>
              <w:left w:val="nil"/>
              <w:bottom w:val="single" w:sz="2" w:space="0" w:color="000000"/>
              <w:right w:val="nil"/>
            </w:tcBorders>
            <w:vAlign w:val="center"/>
            <w:hideMark/>
          </w:tcPr>
          <w:p w14:paraId="1A6EA2B8" w14:textId="77777777" w:rsidR="006E1AAB" w:rsidRDefault="006E1AAB">
            <w:pPr>
              <w:pStyle w:val="bmdsTblBody"/>
              <w:jc w:val="center"/>
            </w:pPr>
            <w:r>
              <w:rPr>
                <w:sz w:val="16"/>
              </w:rPr>
              <w:t>66.0 (28.7-178.7)</w:t>
            </w:r>
          </w:p>
        </w:tc>
        <w:tc>
          <w:tcPr>
            <w:tcW w:w="1262" w:type="dxa"/>
            <w:tcBorders>
              <w:top w:val="nil"/>
              <w:left w:val="nil"/>
              <w:bottom w:val="single" w:sz="2" w:space="0" w:color="000000"/>
              <w:right w:val="nil"/>
            </w:tcBorders>
            <w:vAlign w:val="center"/>
            <w:hideMark/>
          </w:tcPr>
          <w:p w14:paraId="21653779" w14:textId="77777777" w:rsidR="006E1AAB" w:rsidRDefault="006E1AAB">
            <w:pPr>
              <w:pStyle w:val="bmdsTblBody"/>
              <w:jc w:val="center"/>
            </w:pPr>
            <w:r>
              <w:rPr>
                <w:sz w:val="16"/>
              </w:rPr>
              <w:t>2.2</w:t>
            </w:r>
          </w:p>
        </w:tc>
        <w:tc>
          <w:tcPr>
            <w:tcW w:w="1309" w:type="dxa"/>
            <w:tcBorders>
              <w:top w:val="nil"/>
              <w:left w:val="nil"/>
              <w:bottom w:val="single" w:sz="2" w:space="0" w:color="000000"/>
              <w:right w:val="nil"/>
            </w:tcBorders>
            <w:vAlign w:val="center"/>
            <w:hideMark/>
          </w:tcPr>
          <w:p w14:paraId="430DF380" w14:textId="77777777" w:rsidR="006E1AAB" w:rsidRDefault="006E1AAB">
            <w:pPr>
              <w:pStyle w:val="bmdsTblBody"/>
              <w:jc w:val="center"/>
            </w:pPr>
            <w:r>
              <w:rPr>
                <w:sz w:val="16"/>
              </w:rPr>
              <w:t>UP</w:t>
            </w:r>
          </w:p>
        </w:tc>
      </w:tr>
    </w:tbl>
    <w:p w14:paraId="7519BBDB" w14:textId="77777777" w:rsidR="006E1AAB" w:rsidRDefault="006E1AAB" w:rsidP="006E1AAB">
      <w:pPr>
        <w:pStyle w:val="bmdsTblFootnote"/>
      </w:pPr>
      <w:r>
        <w:t xml:space="preserve">Descriptions of orthologous human genes are shown due to the increased detail that is available in public resources such as </w:t>
      </w:r>
      <w:proofErr w:type="spellStart"/>
      <w:r>
        <w:t>UniprotKB</w:t>
      </w:r>
      <w:proofErr w:type="spellEnd"/>
      <w:r>
        <w:t xml:space="preserve"> (https://www.uniprot.org/uniprot/) and Entrez Gene (https://www.ncbi.nlm.nih.gov/gene/). Human </w:t>
      </w:r>
      <w:proofErr w:type="spellStart"/>
      <w:r>
        <w:t>UniprotKB</w:t>
      </w:r>
      <w:proofErr w:type="spellEnd"/>
      <w:r>
        <w:t xml:space="preserve"> was used as primary resource due to the greater breadth of annotation and depth of functional detail that is provided. Rat </w:t>
      </w:r>
      <w:proofErr w:type="spellStart"/>
      <w:r>
        <w:t>UniprotKB</w:t>
      </w:r>
      <w:proofErr w:type="spellEnd"/>
      <w:r>
        <w:t xml:space="preserve"> was used as the second resource if the primary source did not provide a detailed description of function. Human Entrez gene summary was used as third resource.  Rat Entrez gene summary was used as the fourth resource.</w:t>
      </w:r>
    </w:p>
    <w:p w14:paraId="7748A4A9" w14:textId="77777777" w:rsidR="006E1AAB" w:rsidRDefault="006E1AAB" w:rsidP="006E1AAB">
      <w:pPr>
        <w:pStyle w:val="bmdsTblFootnote"/>
      </w:pPr>
      <w:r>
        <w:t>&lt;20.7 = A best-fit model as identified calculated a BMD that was less than 1/3 of the lowest tested dose in this study.</w:t>
      </w:r>
    </w:p>
    <w:p w14:paraId="38E1DB02" w14:textId="77777777" w:rsidR="006E1AAB" w:rsidRDefault="006E1AAB" w:rsidP="006E1AAB">
      <w:pPr>
        <w:pStyle w:val="bmdsTblFootnote"/>
      </w:pPr>
      <w:r>
        <w:t>NR = The BMDL-BMDU range is not reportable because the BMD median is below the lower limit of extrapolation (less than 1/3 of the lowest tested dose in this study).</w:t>
      </w:r>
    </w:p>
    <w:p w14:paraId="4B9BC00E" w14:textId="6F09D582" w:rsidR="006E1AAB" w:rsidRDefault="006E1AAB" w:rsidP="006E1AAB">
      <w:pPr>
        <w:pStyle w:val="bmdsTblFootnote"/>
        <w:rPr>
          <w:iCs/>
        </w:rPr>
      </w:pPr>
      <w:r>
        <w:rPr>
          <w:b/>
        </w:rPr>
        <w:t>Gene definition version:</w:t>
      </w:r>
      <w:r>
        <w:rPr>
          <w:i/>
        </w:rPr>
        <w:t xml:space="preserve"> </w:t>
      </w:r>
      <w:r w:rsidR="0076318F" w:rsidRPr="000E6A0C">
        <w:rPr>
          <w:rFonts w:eastAsia="Calibri" w:cs="Times New Roman"/>
          <w:bCs/>
          <w:szCs w:val="18"/>
        </w:rPr>
        <w:t xml:space="preserve">https://cebs.niehs.nih.gov/cebs/study/002-00600-0002-000-0 </w:t>
      </w:r>
      <w:proofErr w:type="spellStart"/>
      <w:r w:rsidR="00F72BAC">
        <w:t>V05282021</w:t>
      </w:r>
      <w:proofErr w:type="spellEnd"/>
    </w:p>
    <w:p w14:paraId="3123BB3E" w14:textId="77777777" w:rsidR="006E1AAB" w:rsidRDefault="006E1AAB" w:rsidP="006E1AAB">
      <w:pPr>
        <w:pStyle w:val="bmdsTblFootnote"/>
      </w:pPr>
      <w:proofErr w:type="spellStart"/>
      <w:r>
        <w:rPr>
          <w:b/>
        </w:rPr>
        <w:t>Fer1l5</w:t>
      </w:r>
      <w:proofErr w:type="spellEnd"/>
      <w:r>
        <w:rPr>
          <w:b/>
        </w:rPr>
        <w:t>:</w:t>
      </w:r>
      <w:r>
        <w:rPr>
          <w:i/>
        </w:rPr>
        <w:t xml:space="preserve"> Human </w:t>
      </w:r>
      <w:proofErr w:type="spellStart"/>
      <w:r>
        <w:rPr>
          <w:i/>
        </w:rPr>
        <w:t>Uniprot</w:t>
      </w:r>
      <w:proofErr w:type="spellEnd"/>
      <w:r>
        <w:rPr>
          <w:i/>
        </w:rPr>
        <w:t xml:space="preserve"> function (Human FER1L5):</w:t>
      </w:r>
      <w:r>
        <w:t xml:space="preserve"> Plays a role in myoblast fusion; probable mediator of endocytic recycling for membrane trafficking events during myotube formation. {ECO0000250}.</w:t>
      </w:r>
    </w:p>
    <w:p w14:paraId="42D3116A" w14:textId="77777777" w:rsidR="006E1AAB" w:rsidRDefault="006E1AAB" w:rsidP="006E1AAB">
      <w:pPr>
        <w:pStyle w:val="bmdsTblFootnote"/>
      </w:pPr>
      <w:proofErr w:type="spellStart"/>
      <w:r>
        <w:rPr>
          <w:b/>
        </w:rPr>
        <w:t>Gsta3</w:t>
      </w:r>
      <w:proofErr w:type="spellEnd"/>
      <w:r>
        <w:rPr>
          <w:b/>
        </w:rPr>
        <w:t>:</w:t>
      </w:r>
      <w:r>
        <w:rPr>
          <w:i/>
        </w:rPr>
        <w:t xml:space="preserve"> Human </w:t>
      </w:r>
      <w:proofErr w:type="spellStart"/>
      <w:r>
        <w:rPr>
          <w:i/>
        </w:rPr>
        <w:t>Uniprot</w:t>
      </w:r>
      <w:proofErr w:type="spellEnd"/>
      <w:r>
        <w:rPr>
          <w:i/>
        </w:rPr>
        <w:t xml:space="preserve"> function (Human GSTA1):</w:t>
      </w:r>
      <w:r>
        <w:t xml:space="preserve"> Glutathione S-transferase that catalyzes the nucleophilic attack of the sulfur atom of glutathione on the electrophilic groups of a wide range of exogenous and endogenous compounds (Probable). Involved in the formation of glutathione conjugates of both prostaglandin </w:t>
      </w:r>
      <w:proofErr w:type="spellStart"/>
      <w:r>
        <w:t>A2</w:t>
      </w:r>
      <w:proofErr w:type="spellEnd"/>
      <w:r>
        <w:t xml:space="preserve"> (PGA2) and prostaglandin </w:t>
      </w:r>
      <w:proofErr w:type="spellStart"/>
      <w:r>
        <w:t>J2</w:t>
      </w:r>
      <w:proofErr w:type="spellEnd"/>
      <w:r>
        <w:t xml:space="preserve"> (PGJ2) (</w:t>
      </w:r>
      <w:proofErr w:type="spellStart"/>
      <w:r>
        <w:t>PubMed9084911</w:t>
      </w:r>
      <w:proofErr w:type="spellEnd"/>
      <w:r>
        <w:t xml:space="preserve">). It also catalyzes the isomerization of </w:t>
      </w:r>
      <w:proofErr w:type="spellStart"/>
      <w:r>
        <w:t>D5</w:t>
      </w:r>
      <w:proofErr w:type="spellEnd"/>
      <w:r>
        <w:t>-</w:t>
      </w:r>
      <w:proofErr w:type="spellStart"/>
      <w:r>
        <w:t>androstene</w:t>
      </w:r>
      <w:proofErr w:type="spellEnd"/>
      <w:r>
        <w:t>-3,17-</w:t>
      </w:r>
      <w:proofErr w:type="spellStart"/>
      <w:r>
        <w:t>dione</w:t>
      </w:r>
      <w:proofErr w:type="spellEnd"/>
      <w:r>
        <w:t xml:space="preserve"> (AD) into </w:t>
      </w:r>
      <w:proofErr w:type="spellStart"/>
      <w:r>
        <w:t>D4</w:t>
      </w:r>
      <w:proofErr w:type="spellEnd"/>
      <w:r>
        <w:t>-</w:t>
      </w:r>
      <w:proofErr w:type="spellStart"/>
      <w:r>
        <w:t>androstene</w:t>
      </w:r>
      <w:proofErr w:type="spellEnd"/>
      <w:r>
        <w:t>-3,17-</w:t>
      </w:r>
      <w:proofErr w:type="spellStart"/>
      <w:r>
        <w:t>dione</w:t>
      </w:r>
      <w:proofErr w:type="spellEnd"/>
      <w:r>
        <w:t xml:space="preserve"> and may therefore play an important role in hormone biosynthesis (</w:t>
      </w:r>
      <w:proofErr w:type="spellStart"/>
      <w:r>
        <w:t>PubMed11152686</w:t>
      </w:r>
      <w:proofErr w:type="spellEnd"/>
      <w:r>
        <w:t>). Through its glutathione-dependent peroxidase activity toward the fatty acid hydroperoxide (</w:t>
      </w:r>
      <w:proofErr w:type="spellStart"/>
      <w:r>
        <w:t>13S</w:t>
      </w:r>
      <w:proofErr w:type="spellEnd"/>
      <w:r>
        <w:t>)-</w:t>
      </w:r>
      <w:proofErr w:type="spellStart"/>
      <w:r>
        <w:t>hydroperoxy</w:t>
      </w:r>
      <w:proofErr w:type="spellEnd"/>
      <w:r>
        <w:t>-(9Z,11E)-octadecadienoate/13-HPODE it is also involved in the metabolism of oxidized linoleic acid (</w:t>
      </w:r>
      <w:proofErr w:type="spellStart"/>
      <w:r>
        <w:t>PubMed16624487</w:t>
      </w:r>
      <w:proofErr w:type="spellEnd"/>
      <w:r>
        <w:t>). {</w:t>
      </w:r>
      <w:proofErr w:type="spellStart"/>
      <w:r>
        <w:t>ECO0000269|PubMed11152686</w:t>
      </w:r>
      <w:proofErr w:type="spellEnd"/>
      <w:r>
        <w:t xml:space="preserve">, </w:t>
      </w:r>
      <w:proofErr w:type="spellStart"/>
      <w:r>
        <w:t>ECO0000269|PubMed16624487</w:t>
      </w:r>
      <w:proofErr w:type="spellEnd"/>
      <w:r>
        <w:t xml:space="preserve">, </w:t>
      </w:r>
      <w:proofErr w:type="spellStart"/>
      <w:r>
        <w:t>ECO0000269|PubMed9084911</w:t>
      </w:r>
      <w:proofErr w:type="spellEnd"/>
      <w:r>
        <w:t xml:space="preserve">, </w:t>
      </w:r>
      <w:proofErr w:type="spellStart"/>
      <w:r>
        <w:t>ECO0000305|PubMed20606271</w:t>
      </w:r>
      <w:proofErr w:type="spellEnd"/>
      <w:r>
        <w:t>}.</w:t>
      </w:r>
    </w:p>
    <w:p w14:paraId="364FEBD2" w14:textId="77777777" w:rsidR="006E1AAB" w:rsidRDefault="006E1AAB" w:rsidP="006E1AAB">
      <w:pPr>
        <w:pStyle w:val="bmdsTblFootnote"/>
      </w:pPr>
      <w:proofErr w:type="spellStart"/>
      <w:r>
        <w:rPr>
          <w:b/>
        </w:rPr>
        <w:t>Ces2c</w:t>
      </w:r>
      <w:proofErr w:type="spellEnd"/>
      <w:r>
        <w:rPr>
          <w:b/>
        </w:rPr>
        <w:t>:</w:t>
      </w:r>
      <w:r>
        <w:rPr>
          <w:i/>
        </w:rPr>
        <w:t xml:space="preserve"> Human </w:t>
      </w:r>
      <w:proofErr w:type="spellStart"/>
      <w:r>
        <w:rPr>
          <w:i/>
        </w:rPr>
        <w:t>Uniprot</w:t>
      </w:r>
      <w:proofErr w:type="spellEnd"/>
      <w:r>
        <w:rPr>
          <w:i/>
        </w:rPr>
        <w:t xml:space="preserve"> function (Human CES2):</w:t>
      </w:r>
      <w:r>
        <w:t xml:space="preserve"> Involved in the detoxification of xenobiotics and in the activation of ester and amide prodrugs (</w:t>
      </w:r>
      <w:proofErr w:type="spellStart"/>
      <w:r>
        <w:t>PubMed9169443</w:t>
      </w:r>
      <w:proofErr w:type="spellEnd"/>
      <w:r>
        <w:t>). Shows high catalytic efficiency for hydrolysis of cocaine, 4-</w:t>
      </w:r>
      <w:proofErr w:type="spellStart"/>
      <w:r>
        <w:t>methylumbelliferyl</w:t>
      </w:r>
      <w:proofErr w:type="spellEnd"/>
      <w:r>
        <w:t xml:space="preserve"> acetate, heroin and 6-</w:t>
      </w:r>
      <w:proofErr w:type="spellStart"/>
      <w:r>
        <w:t>monoacetylmorphine</w:t>
      </w:r>
      <w:proofErr w:type="spellEnd"/>
      <w:r>
        <w:t xml:space="preserve"> (</w:t>
      </w:r>
      <w:proofErr w:type="spellStart"/>
      <w:r>
        <w:t>PubMed9169443</w:t>
      </w:r>
      <w:proofErr w:type="spellEnd"/>
      <w:r>
        <w:t>). Hydrolyzes aspirin, substrates with large alcohol group and small acyl group and endogenous lipids such as triacylglycerol (</w:t>
      </w:r>
      <w:proofErr w:type="spellStart"/>
      <w:r>
        <w:t>PubMed28677105</w:t>
      </w:r>
      <w:proofErr w:type="spellEnd"/>
      <w:r>
        <w:t xml:space="preserve">). Converts </w:t>
      </w:r>
      <w:proofErr w:type="spellStart"/>
      <w:r>
        <w:t>monoacylglycerides</w:t>
      </w:r>
      <w:proofErr w:type="spellEnd"/>
      <w:r>
        <w:t xml:space="preserve"> to free fatty acids and glycerol. Hydrolyzes of 2-</w:t>
      </w:r>
      <w:proofErr w:type="spellStart"/>
      <w:r>
        <w:t>arachidonoylglycerol</w:t>
      </w:r>
      <w:proofErr w:type="spellEnd"/>
      <w:r>
        <w:t xml:space="preserve"> and prostaglandins (</w:t>
      </w:r>
      <w:proofErr w:type="spellStart"/>
      <w:r>
        <w:t>PubMed21049984</w:t>
      </w:r>
      <w:proofErr w:type="spellEnd"/>
      <w:r>
        <w:t>). {</w:t>
      </w:r>
      <w:proofErr w:type="spellStart"/>
      <w:r>
        <w:t>ECO0000269|PubMed21049984</w:t>
      </w:r>
      <w:proofErr w:type="spellEnd"/>
      <w:r>
        <w:t xml:space="preserve">, </w:t>
      </w:r>
      <w:proofErr w:type="spellStart"/>
      <w:r>
        <w:t>ECO0000269|PubMed9169443</w:t>
      </w:r>
      <w:proofErr w:type="spellEnd"/>
      <w:r>
        <w:t xml:space="preserve">, </w:t>
      </w:r>
      <w:proofErr w:type="spellStart"/>
      <w:r>
        <w:t>ECO0000303|PubMed28677105</w:t>
      </w:r>
      <w:proofErr w:type="spellEnd"/>
      <w:r>
        <w:t>}.</w:t>
      </w:r>
    </w:p>
    <w:p w14:paraId="3316A8BD" w14:textId="77777777" w:rsidR="006E1AAB" w:rsidRDefault="006E1AAB" w:rsidP="006E1AAB">
      <w:pPr>
        <w:pStyle w:val="bmdsTblFootnote"/>
      </w:pPr>
      <w:proofErr w:type="spellStart"/>
      <w:r>
        <w:rPr>
          <w:b/>
        </w:rPr>
        <w:t>Abcc3</w:t>
      </w:r>
      <w:proofErr w:type="spellEnd"/>
      <w:r>
        <w:rPr>
          <w:b/>
        </w:rPr>
        <w:t>:</w:t>
      </w:r>
      <w:r>
        <w:rPr>
          <w:i/>
        </w:rPr>
        <w:t xml:space="preserve"> Human </w:t>
      </w:r>
      <w:proofErr w:type="spellStart"/>
      <w:r>
        <w:rPr>
          <w:i/>
        </w:rPr>
        <w:t>Uniprot</w:t>
      </w:r>
      <w:proofErr w:type="spellEnd"/>
      <w:r>
        <w:rPr>
          <w:i/>
        </w:rPr>
        <w:t xml:space="preserve"> function (Human ABCC3):</w:t>
      </w:r>
      <w:r>
        <w:t xml:space="preserve"> May act as an inducible transporter in the biliary and intestinal excretion of organic anions. Acts as an alternative route for the export of bile acids and glucuronides from cholestatic hepatocytes (By similarity). {ECO0000250}.</w:t>
      </w:r>
    </w:p>
    <w:p w14:paraId="07541F26" w14:textId="77777777" w:rsidR="006E1AAB" w:rsidRDefault="006E1AAB" w:rsidP="006E1AAB">
      <w:pPr>
        <w:pStyle w:val="bmdsTblFootnote"/>
      </w:pPr>
      <w:proofErr w:type="spellStart"/>
      <w:r>
        <w:rPr>
          <w:b/>
        </w:rPr>
        <w:t>Orm1</w:t>
      </w:r>
      <w:proofErr w:type="spellEnd"/>
      <w:r>
        <w:rPr>
          <w:b/>
        </w:rPr>
        <w:t>:</w:t>
      </w:r>
      <w:r>
        <w:rPr>
          <w:i/>
        </w:rPr>
        <w:t xml:space="preserve"> Human </w:t>
      </w:r>
      <w:proofErr w:type="spellStart"/>
      <w:r>
        <w:rPr>
          <w:i/>
        </w:rPr>
        <w:t>Uniprot</w:t>
      </w:r>
      <w:proofErr w:type="spellEnd"/>
      <w:r>
        <w:rPr>
          <w:i/>
        </w:rPr>
        <w:t xml:space="preserve"> function (Human ORM1):</w:t>
      </w:r>
      <w:r>
        <w:t xml:space="preserve"> Functions as transport protein in the blood stream. Binds various ligands in the interior of its beta-barrel domain. Also binds synthetic drugs and influences their distribution and availability in the body. Appears to function in modulating the activity of the immune system during the acute-phase reaction. {</w:t>
      </w:r>
      <w:proofErr w:type="spellStart"/>
      <w:r>
        <w:t>ECO0000269|PubMed17008009</w:t>
      </w:r>
      <w:proofErr w:type="spellEnd"/>
      <w:r>
        <w:t xml:space="preserve">, </w:t>
      </w:r>
      <w:proofErr w:type="spellStart"/>
      <w:r>
        <w:t>ECO0000269|PubMed17321687</w:t>
      </w:r>
      <w:proofErr w:type="spellEnd"/>
      <w:r>
        <w:t>}.</w:t>
      </w:r>
    </w:p>
    <w:p w14:paraId="413BA908" w14:textId="77777777" w:rsidR="006E1AAB" w:rsidRDefault="006E1AAB" w:rsidP="006E1AAB">
      <w:pPr>
        <w:pStyle w:val="bmdsTblFootnote"/>
      </w:pPr>
      <w:proofErr w:type="spellStart"/>
      <w:r>
        <w:rPr>
          <w:b/>
        </w:rPr>
        <w:t>Mnd1</w:t>
      </w:r>
      <w:proofErr w:type="spellEnd"/>
      <w:r>
        <w:rPr>
          <w:b/>
        </w:rPr>
        <w:t>:</w:t>
      </w:r>
      <w:r>
        <w:rPr>
          <w:i/>
        </w:rPr>
        <w:t xml:space="preserve"> Human </w:t>
      </w:r>
      <w:proofErr w:type="spellStart"/>
      <w:r>
        <w:rPr>
          <w:i/>
        </w:rPr>
        <w:t>Uniprot</w:t>
      </w:r>
      <w:proofErr w:type="spellEnd"/>
      <w:r>
        <w:rPr>
          <w:i/>
        </w:rPr>
        <w:t xml:space="preserve"> function (Human MND1):</w:t>
      </w:r>
      <w:r>
        <w:t xml:space="preserve"> Required for proper homologous chromosome pairing and efficient cross-over and intragenic recombination during meiosis (By similarity). Stimulates both DMC1- and RAD51-mediated homologous strand assimilation, which is required for the resolution of meiotic double-strand breaks. {</w:t>
      </w:r>
      <w:proofErr w:type="spellStart"/>
      <w:r>
        <w:t>ECO0000250|UniProtKBQ8K396</w:t>
      </w:r>
      <w:proofErr w:type="spellEnd"/>
      <w:r>
        <w:t xml:space="preserve">, </w:t>
      </w:r>
      <w:proofErr w:type="spellStart"/>
      <w:r>
        <w:t>ECO0000269|PubMed16407260</w:t>
      </w:r>
      <w:proofErr w:type="spellEnd"/>
      <w:r>
        <w:t>}.</w:t>
      </w:r>
    </w:p>
    <w:p w14:paraId="28D06289" w14:textId="77777777" w:rsidR="006E1AAB" w:rsidRDefault="006E1AAB" w:rsidP="006E1AAB">
      <w:pPr>
        <w:pStyle w:val="bmdsTblFootnote"/>
      </w:pPr>
      <w:r>
        <w:rPr>
          <w:b/>
        </w:rPr>
        <w:t>App:</w:t>
      </w:r>
      <w:r>
        <w:rPr>
          <w:i/>
        </w:rPr>
        <w:t xml:space="preserve"> Human </w:t>
      </w:r>
      <w:proofErr w:type="spellStart"/>
      <w:r>
        <w:rPr>
          <w:i/>
        </w:rPr>
        <w:t>Uniprot</w:t>
      </w:r>
      <w:proofErr w:type="spellEnd"/>
      <w:r>
        <w:rPr>
          <w:i/>
        </w:rPr>
        <w:t xml:space="preserve"> function (Human APP):</w:t>
      </w:r>
      <w:r>
        <w:t xml:space="preserve"> Functions as a cell surface receptor and performs physiological functions on the surface of neurons relevant to neurite growth, neuronal adhesion and </w:t>
      </w:r>
      <w:proofErr w:type="spellStart"/>
      <w:r>
        <w:t>axonogenesis</w:t>
      </w:r>
      <w:proofErr w:type="spellEnd"/>
      <w:r>
        <w:t>. Interaction between APP molecules on neighboring cells promotes synaptogenesis (</w:t>
      </w:r>
      <w:proofErr w:type="spellStart"/>
      <w:r>
        <w:t>PubMed25122912</w:t>
      </w:r>
      <w:proofErr w:type="spellEnd"/>
      <w:r>
        <w:t xml:space="preserve">). Involved in cell mobility and transcription regulation through protein-protein interactions. Can promote transcription activation through binding to APBB1-KAT5 and inhibits Notch signaling through interaction with Numb. Couples to apoptosis-inducing pathways such as those mediated by G(O) and JIP. Inhibits G(o) alpha ATPase activity (By similarity). Acts as a kinesin I membrane receptor, mediating the axonal transport of beta-secretase and presenilin 1 (By similarity). By acting as a </w:t>
      </w:r>
      <w:proofErr w:type="gramStart"/>
      <w:r>
        <w:t>kinesin</w:t>
      </w:r>
      <w:proofErr w:type="gramEnd"/>
      <w:r>
        <w:t xml:space="preserve"> I membrane receptor, plays a role in axonal anterograde transport of cargo towards </w:t>
      </w:r>
      <w:proofErr w:type="spellStart"/>
      <w:r>
        <w:t>synapes</w:t>
      </w:r>
      <w:proofErr w:type="spellEnd"/>
      <w:r>
        <w:t xml:space="preserve"> in axons (</w:t>
      </w:r>
      <w:proofErr w:type="spellStart"/>
      <w:r>
        <w:t>PubMed17062754</w:t>
      </w:r>
      <w:proofErr w:type="spellEnd"/>
      <w:r>
        <w:t xml:space="preserve">, </w:t>
      </w:r>
      <w:proofErr w:type="spellStart"/>
      <w:r>
        <w:t>PubMed23011729</w:t>
      </w:r>
      <w:proofErr w:type="spellEnd"/>
      <w:r>
        <w:t xml:space="preserve">). Involved in copper homeostasis/oxidative stress through </w:t>
      </w:r>
      <w:r>
        <w:lastRenderedPageBreak/>
        <w:t>copper ion reduction. In vitro, copper-</w:t>
      </w:r>
      <w:proofErr w:type="spellStart"/>
      <w:r>
        <w:t>metallated</w:t>
      </w:r>
      <w:proofErr w:type="spellEnd"/>
      <w:r>
        <w:t xml:space="preserve"> APP induces neuronal death directly or is potentiated through </w:t>
      </w:r>
      <w:proofErr w:type="gramStart"/>
      <w:r>
        <w:t>Cu(</w:t>
      </w:r>
      <w:proofErr w:type="gramEnd"/>
      <w:r>
        <w:t xml:space="preserve">2+)-mediated low-density lipoprotein oxidation. Can regulate neurite outgrowth through binding to components of the extracellular matrix such as heparin and collagen I and IV. The splice isoforms that contain the BPTI domain possess protease inhibitor activity. Induces </w:t>
      </w:r>
      <w:proofErr w:type="gramStart"/>
      <w:r>
        <w:t>a</w:t>
      </w:r>
      <w:proofErr w:type="gramEnd"/>
      <w:r>
        <w:t xml:space="preserve"> AGER-dependent pathway that involves activation of </w:t>
      </w:r>
      <w:proofErr w:type="spellStart"/>
      <w:r>
        <w:t>p38</w:t>
      </w:r>
      <w:proofErr w:type="spellEnd"/>
      <w:r>
        <w:t xml:space="preserve"> MAPK, resulting in internalization of amyloid-beta peptide and leading to mitochondrial dysfunction in cultured cortical neurons. Provides </w:t>
      </w:r>
      <w:proofErr w:type="gramStart"/>
      <w:r>
        <w:t>Cu(</w:t>
      </w:r>
      <w:proofErr w:type="gramEnd"/>
      <w:r>
        <w:t xml:space="preserve">2+) ions for GPC1 which are required for release of nitric oxide (NO) and subsequent degradation of the heparan sulfate chains on GPC1. {ECO0000250, </w:t>
      </w:r>
      <w:proofErr w:type="spellStart"/>
      <w:r>
        <w:t>ECO0000250|UniProtKBP12023</w:t>
      </w:r>
      <w:proofErr w:type="spellEnd"/>
      <w:r>
        <w:t xml:space="preserve">, </w:t>
      </w:r>
      <w:proofErr w:type="spellStart"/>
      <w:r>
        <w:t>ECO0000269|PubMed17062754</w:t>
      </w:r>
      <w:proofErr w:type="spellEnd"/>
      <w:r>
        <w:t xml:space="preserve">, </w:t>
      </w:r>
      <w:proofErr w:type="spellStart"/>
      <w:r>
        <w:t>ECO0000269|PubMed23011729</w:t>
      </w:r>
      <w:proofErr w:type="spellEnd"/>
      <w:r>
        <w:t xml:space="preserve">, </w:t>
      </w:r>
      <w:proofErr w:type="spellStart"/>
      <w:r>
        <w:t>ECO0000269|PubMed25122912</w:t>
      </w:r>
      <w:proofErr w:type="spellEnd"/>
      <w:r>
        <w:t xml:space="preserve">}.; FUNCTION Amyloid-beta peptides are lipophilic metal chelators with metal-reducing activity. Bind transient metals such as copper, </w:t>
      </w:r>
      <w:proofErr w:type="gramStart"/>
      <w:r>
        <w:t>zinc</w:t>
      </w:r>
      <w:proofErr w:type="gramEnd"/>
      <w:r>
        <w:t xml:space="preserve"> and iron. In vitro, can reduce </w:t>
      </w:r>
      <w:proofErr w:type="gramStart"/>
      <w:r>
        <w:t>Cu(</w:t>
      </w:r>
      <w:proofErr w:type="gramEnd"/>
      <w:r>
        <w:t xml:space="preserve">2+) and Fe(3+) to Cu(+) and Fe(2+), respectively. Amyloid-beta protein 42 is a more effective reductant than amyloid-beta protein 40. Amyloid-beta peptides bind to lipoproteins and apolipoproteins E and J in the CSF and to HDL particles in plasma, inhibiting metal-catalyzed oxidation of lipoproteins. APP42-beta may activate mononuclear phagocytes in the brain and elicit inflammatory responses. Promotes both tau aggregation and TPK II-mediated phosphorylation. Interaction with overexpressed HADH2 leads to oxidative stress and neurotoxicity. Also binds GPC1 in lipid rafts.; FUNCTION </w:t>
      </w:r>
      <w:proofErr w:type="spellStart"/>
      <w:r>
        <w:t>Appicans</w:t>
      </w:r>
      <w:proofErr w:type="spellEnd"/>
      <w:r>
        <w:t xml:space="preserve"> elicit adhesion of neural cells to the extracellular matrix and may regulate neurite outgrowth in the brain. {ECO0000250}.; FUNCTION The gamma-CTF peptides as well as the caspase-cleaved peptides, including </w:t>
      </w:r>
      <w:proofErr w:type="spellStart"/>
      <w:r>
        <w:t>C31</w:t>
      </w:r>
      <w:proofErr w:type="spellEnd"/>
      <w:r>
        <w:t>, are potent enhancers of neuronal apoptosis.; FUNCTION N-APP binds TNFRSF21 triggering caspase activation and degeneration of both neuronal cell bodies (via caspase-3) and axons (via caspase-6).</w:t>
      </w:r>
    </w:p>
    <w:p w14:paraId="5D60F84F" w14:textId="77777777" w:rsidR="006E1AAB" w:rsidRDefault="006E1AAB" w:rsidP="006E1AAB">
      <w:pPr>
        <w:pStyle w:val="bmdsTblFootnote"/>
      </w:pPr>
      <w:proofErr w:type="spellStart"/>
      <w:r>
        <w:rPr>
          <w:b/>
        </w:rPr>
        <w:t>Cyp7a1</w:t>
      </w:r>
      <w:proofErr w:type="spellEnd"/>
      <w:r>
        <w:rPr>
          <w:b/>
        </w:rPr>
        <w:t>:</w:t>
      </w:r>
      <w:r>
        <w:rPr>
          <w:i/>
        </w:rPr>
        <w:t xml:space="preserve"> Human </w:t>
      </w:r>
      <w:proofErr w:type="spellStart"/>
      <w:r>
        <w:rPr>
          <w:i/>
        </w:rPr>
        <w:t>Uniprot</w:t>
      </w:r>
      <w:proofErr w:type="spellEnd"/>
      <w:r>
        <w:rPr>
          <w:i/>
        </w:rPr>
        <w:t xml:space="preserve"> function (Human CYP7A1):</w:t>
      </w:r>
      <w:r>
        <w:t xml:space="preserve"> A cytochrome </w:t>
      </w:r>
      <w:proofErr w:type="spellStart"/>
      <w:r>
        <w:t>P450</w:t>
      </w:r>
      <w:proofErr w:type="spellEnd"/>
      <w:r>
        <w:t xml:space="preserve"> monooxygenase involved in the metabolism of endogenous cholesterol and its oxygenated derivatives (oxysterols) (</w:t>
      </w:r>
      <w:proofErr w:type="spellStart"/>
      <w:r>
        <w:t>PubMed11013305</w:t>
      </w:r>
      <w:proofErr w:type="spellEnd"/>
      <w:r>
        <w:t xml:space="preserve">, </w:t>
      </w:r>
      <w:proofErr w:type="spellStart"/>
      <w:r>
        <w:t>PubMed12077124</w:t>
      </w:r>
      <w:proofErr w:type="spellEnd"/>
      <w:r>
        <w:t xml:space="preserve">, </w:t>
      </w:r>
      <w:proofErr w:type="spellStart"/>
      <w:r>
        <w:t>PubMed19965590</w:t>
      </w:r>
      <w:proofErr w:type="spellEnd"/>
      <w:r>
        <w:t xml:space="preserve">, </w:t>
      </w:r>
      <w:proofErr w:type="spellStart"/>
      <w:r>
        <w:t>PubMed2384150</w:t>
      </w:r>
      <w:proofErr w:type="spellEnd"/>
      <w:r>
        <w:t xml:space="preserve">, </w:t>
      </w:r>
      <w:proofErr w:type="spellStart"/>
      <w:r>
        <w:t>PubMed21813643</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(CPR; NADPH-ferrihemoprotein reductase) (</w:t>
      </w:r>
      <w:proofErr w:type="spellStart"/>
      <w:r>
        <w:t>PubMed2384150</w:t>
      </w:r>
      <w:proofErr w:type="spellEnd"/>
      <w:r>
        <w:t xml:space="preserve">, </w:t>
      </w:r>
      <w:proofErr w:type="spellStart"/>
      <w:r>
        <w:t>PubMed11013305</w:t>
      </w:r>
      <w:proofErr w:type="spellEnd"/>
      <w:r>
        <w:t xml:space="preserve">, </w:t>
      </w:r>
      <w:proofErr w:type="spellStart"/>
      <w:r>
        <w:t>PubMed12077124</w:t>
      </w:r>
      <w:proofErr w:type="spellEnd"/>
      <w:r>
        <w:t xml:space="preserve">, </w:t>
      </w:r>
      <w:proofErr w:type="spellStart"/>
      <w:r>
        <w:t>PubMed19965590</w:t>
      </w:r>
      <w:proofErr w:type="spellEnd"/>
      <w:r>
        <w:t xml:space="preserve">, </w:t>
      </w:r>
      <w:proofErr w:type="spellStart"/>
      <w:r>
        <w:t>PubMed21813643</w:t>
      </w:r>
      <w:proofErr w:type="spellEnd"/>
      <w:r>
        <w:t>). Functions as a critical regulatory enzyme of bile acid biosynthesis and cholesterol homeostasis. Catalyzes the hydroxylation of carbon hydrogen bond at 7-alpha position of cholesterol, a rate-limiting step in cholesterol catabolism and bile acid biosynthesis (</w:t>
      </w:r>
      <w:proofErr w:type="spellStart"/>
      <w:r>
        <w:t>PubMed12077124</w:t>
      </w:r>
      <w:proofErr w:type="spellEnd"/>
      <w:r>
        <w:t xml:space="preserve">, </w:t>
      </w:r>
      <w:proofErr w:type="spellStart"/>
      <w:r>
        <w:t>PubMed19965590</w:t>
      </w:r>
      <w:proofErr w:type="spellEnd"/>
      <w:r>
        <w:t xml:space="preserve">, </w:t>
      </w:r>
      <w:proofErr w:type="spellStart"/>
      <w:r>
        <w:t>PubMed2384150</w:t>
      </w:r>
      <w:proofErr w:type="spellEnd"/>
      <w:r>
        <w:t xml:space="preserve">). 7-alpha hydroxylates several oxysterols, including </w:t>
      </w:r>
      <w:proofErr w:type="spellStart"/>
      <w:r>
        <w:t>4beta</w:t>
      </w:r>
      <w:proofErr w:type="spellEnd"/>
      <w:r>
        <w:t>-hydroxycholesterol and 24-hydroxycholesterol (</w:t>
      </w:r>
      <w:proofErr w:type="spellStart"/>
      <w:r>
        <w:t>PubMed11013305</w:t>
      </w:r>
      <w:proofErr w:type="spellEnd"/>
      <w:r>
        <w:t xml:space="preserve">, </w:t>
      </w:r>
      <w:proofErr w:type="spellStart"/>
      <w:r>
        <w:t>PubMed12077124</w:t>
      </w:r>
      <w:proofErr w:type="spellEnd"/>
      <w:r>
        <w:t xml:space="preserve">). Catalyzes the oxidation of the </w:t>
      </w:r>
      <w:proofErr w:type="gramStart"/>
      <w:r>
        <w:t>7,8 double</w:t>
      </w:r>
      <w:proofErr w:type="gramEnd"/>
      <w:r>
        <w:t xml:space="preserve"> bond of 7-dehydrocholesterol and </w:t>
      </w:r>
      <w:proofErr w:type="spellStart"/>
      <w:r>
        <w:t>lathosterol</w:t>
      </w:r>
      <w:proofErr w:type="spellEnd"/>
      <w:r>
        <w:t xml:space="preserve"> with direct and predominant formation of the 7-keto derivatives (</w:t>
      </w:r>
      <w:proofErr w:type="spellStart"/>
      <w:r>
        <w:t>PubMed21813643</w:t>
      </w:r>
      <w:proofErr w:type="spellEnd"/>
      <w:r>
        <w:t>). {</w:t>
      </w:r>
      <w:proofErr w:type="spellStart"/>
      <w:r>
        <w:t>ECO0000269|PubMed11013305</w:t>
      </w:r>
      <w:proofErr w:type="spellEnd"/>
      <w:r>
        <w:t xml:space="preserve">, </w:t>
      </w:r>
      <w:proofErr w:type="spellStart"/>
      <w:r>
        <w:t>ECO0000269|PubMed12077124</w:t>
      </w:r>
      <w:proofErr w:type="spellEnd"/>
      <w:r>
        <w:t xml:space="preserve">, </w:t>
      </w:r>
      <w:proofErr w:type="spellStart"/>
      <w:r>
        <w:t>ECO0000269|PubMed19965590</w:t>
      </w:r>
      <w:proofErr w:type="spellEnd"/>
      <w:r>
        <w:t xml:space="preserve">, </w:t>
      </w:r>
      <w:proofErr w:type="spellStart"/>
      <w:r>
        <w:t>ECO0000269|PubMed21813643</w:t>
      </w:r>
      <w:proofErr w:type="spellEnd"/>
      <w:r>
        <w:t xml:space="preserve">, </w:t>
      </w:r>
      <w:proofErr w:type="spellStart"/>
      <w:r>
        <w:t>ECO0000269|PubMed2384150</w:t>
      </w:r>
      <w:proofErr w:type="spellEnd"/>
      <w:r>
        <w:t>}.</w:t>
      </w:r>
    </w:p>
    <w:p w14:paraId="6C22E708" w14:textId="77777777" w:rsidR="006E1AAB" w:rsidRDefault="006E1AAB" w:rsidP="006E1AAB">
      <w:pPr>
        <w:pStyle w:val="bmdsTblFootnote"/>
      </w:pPr>
      <w:proofErr w:type="spellStart"/>
      <w:r>
        <w:rPr>
          <w:b/>
        </w:rPr>
        <w:t>Ddit4</w:t>
      </w:r>
      <w:proofErr w:type="spellEnd"/>
      <w:r>
        <w:rPr>
          <w:b/>
        </w:rPr>
        <w:t>:</w:t>
      </w:r>
      <w:r>
        <w:rPr>
          <w:i/>
        </w:rPr>
        <w:t xml:space="preserve"> Human </w:t>
      </w:r>
      <w:proofErr w:type="spellStart"/>
      <w:r>
        <w:rPr>
          <w:i/>
        </w:rPr>
        <w:t>Uniprot</w:t>
      </w:r>
      <w:proofErr w:type="spellEnd"/>
      <w:r>
        <w:rPr>
          <w:i/>
        </w:rPr>
        <w:t xml:space="preserve"> function (Human DDIT4):</w:t>
      </w:r>
      <w:r>
        <w:t xml:space="preserve"> Regulates cell growth, </w:t>
      </w:r>
      <w:proofErr w:type="gramStart"/>
      <w:r>
        <w:t>proliferation</w:t>
      </w:r>
      <w:proofErr w:type="gramEnd"/>
      <w:r>
        <w:t xml:space="preserve"> and survival via inhibition of the activity of the mammalian target of rapamycin complex 1 (</w:t>
      </w:r>
      <w:proofErr w:type="spellStart"/>
      <w:r>
        <w:t>mTORC1</w:t>
      </w:r>
      <w:proofErr w:type="spellEnd"/>
      <w:r>
        <w:t xml:space="preserve">). Inhibition of </w:t>
      </w:r>
      <w:proofErr w:type="spellStart"/>
      <w:r>
        <w:t>mTORC1</w:t>
      </w:r>
      <w:proofErr w:type="spellEnd"/>
      <w:r>
        <w:t xml:space="preserve"> is mediated by a pathway that involves DDIT4/REDD1, AKT1, the TSC1-TSC2 complex and the GTPase RHEB. Plays an important role in responses to cellular energy levels and cellular stress, including responses to hypoxia and DNA damage. Regulates </w:t>
      </w:r>
      <w:proofErr w:type="spellStart"/>
      <w:r>
        <w:t>p53</w:t>
      </w:r>
      <w:proofErr w:type="spellEnd"/>
      <w:r>
        <w:t xml:space="preserve">/TP53-mediated apoptosis in response to DNA damage via its effect on </w:t>
      </w:r>
      <w:proofErr w:type="spellStart"/>
      <w:r>
        <w:t>mTORC1</w:t>
      </w:r>
      <w:proofErr w:type="spellEnd"/>
      <w:r>
        <w:t xml:space="preserve"> activity. Its role in the response to hypoxia depends on the cell type; it mediates </w:t>
      </w:r>
      <w:proofErr w:type="spellStart"/>
      <w:r>
        <w:t>mTORC1</w:t>
      </w:r>
      <w:proofErr w:type="spellEnd"/>
      <w:r>
        <w:t xml:space="preserve"> inhibition in fibroblasts and thymocytes, but not in hepatocytes (By similarity). Required for </w:t>
      </w:r>
      <w:proofErr w:type="spellStart"/>
      <w:r>
        <w:t>mTORC1</w:t>
      </w:r>
      <w:proofErr w:type="spellEnd"/>
      <w:r>
        <w:t xml:space="preserve">-mediated defense against viral protein synthesis and virus replication (By similarity). Inhibits neuronal differentiation and neurite outgrowth mediated by NGF via its effect on </w:t>
      </w:r>
      <w:proofErr w:type="spellStart"/>
      <w:r>
        <w:t>mTORC1</w:t>
      </w:r>
      <w:proofErr w:type="spellEnd"/>
      <w:r>
        <w:t xml:space="preserve"> activity. Required for normal neuron migration during embryonic brain development. Plays a role in neuronal cell death. {ECO0000250, </w:t>
      </w:r>
      <w:proofErr w:type="spellStart"/>
      <w:r>
        <w:t>ECO0000269|PubMed15545625</w:t>
      </w:r>
      <w:proofErr w:type="spellEnd"/>
      <w:r>
        <w:t xml:space="preserve">, </w:t>
      </w:r>
      <w:proofErr w:type="spellStart"/>
      <w:r>
        <w:t>ECO0000269|PubMed15632201</w:t>
      </w:r>
      <w:proofErr w:type="spellEnd"/>
      <w:r>
        <w:t xml:space="preserve">, </w:t>
      </w:r>
      <w:proofErr w:type="spellStart"/>
      <w:r>
        <w:t>ECO0000269|PubMed15988001</w:t>
      </w:r>
      <w:proofErr w:type="spellEnd"/>
      <w:r>
        <w:t xml:space="preserve">, </w:t>
      </w:r>
      <w:proofErr w:type="spellStart"/>
      <w:r>
        <w:t>ECO0000269|PubMed17005863</w:t>
      </w:r>
      <w:proofErr w:type="spellEnd"/>
      <w:r>
        <w:t xml:space="preserve">, </w:t>
      </w:r>
      <w:proofErr w:type="spellStart"/>
      <w:r>
        <w:t>ECO0000269|PubMed17379067</w:t>
      </w:r>
      <w:proofErr w:type="spellEnd"/>
      <w:r>
        <w:t xml:space="preserve">, </w:t>
      </w:r>
      <w:proofErr w:type="spellStart"/>
      <w:r>
        <w:t>ECO0000269|PubMed19557001</w:t>
      </w:r>
      <w:proofErr w:type="spellEnd"/>
      <w:r>
        <w:t xml:space="preserve">, </w:t>
      </w:r>
      <w:proofErr w:type="spellStart"/>
      <w:r>
        <w:t>ECO0000269|PubMed20166753</w:t>
      </w:r>
      <w:proofErr w:type="spellEnd"/>
      <w:r>
        <w:t xml:space="preserve">, </w:t>
      </w:r>
      <w:proofErr w:type="spellStart"/>
      <w:r>
        <w:t>ECO0000269|PubMed21460850</w:t>
      </w:r>
      <w:proofErr w:type="spellEnd"/>
      <w:r>
        <w:t>}.</w:t>
      </w:r>
    </w:p>
    <w:p w14:paraId="63CF97F4" w14:textId="01A2BEC4" w:rsidR="00C505B6" w:rsidRDefault="006E1AAB" w:rsidP="006E1AAB">
      <w:pPr>
        <w:pStyle w:val="bmdsTblFootnote"/>
      </w:pPr>
      <w:proofErr w:type="spellStart"/>
      <w:r>
        <w:rPr>
          <w:b/>
        </w:rPr>
        <w:t>Gstt3</w:t>
      </w:r>
      <w:proofErr w:type="spellEnd"/>
      <w:r>
        <w:rPr>
          <w:b/>
        </w:rPr>
        <w:t>:</w:t>
      </w:r>
      <w:r>
        <w:t xml:space="preserve"> </w:t>
      </w:r>
      <w:r>
        <w:rPr>
          <w:i/>
        </w:rPr>
        <w:t xml:space="preserve">Human </w:t>
      </w:r>
      <w:proofErr w:type="spellStart"/>
      <w:r>
        <w:rPr>
          <w:i/>
        </w:rPr>
        <w:t>Uniprot</w:t>
      </w:r>
      <w:proofErr w:type="spellEnd"/>
      <w:r>
        <w:rPr>
          <w:i/>
        </w:rPr>
        <w:t xml:space="preserve"> function (Human GSTT1):</w:t>
      </w:r>
      <w:r>
        <w:t xml:space="preserve"> Conjugation of reduced glutathione to a wide number of exogenous and endogenous hydrophobic electrophiles. Acts on 1,2-epoxy-3-(4-</w:t>
      </w:r>
      <w:proofErr w:type="spellStart"/>
      <w:proofErr w:type="gramStart"/>
      <w:r>
        <w:t>nitrophenoxy</w:t>
      </w:r>
      <w:proofErr w:type="spellEnd"/>
      <w:r>
        <w:t>)propane</w:t>
      </w:r>
      <w:proofErr w:type="gramEnd"/>
      <w:r>
        <w:t xml:space="preserve">, </w:t>
      </w:r>
      <w:proofErr w:type="spellStart"/>
      <w:r>
        <w:t>phenethylisothiocyanate</w:t>
      </w:r>
      <w:proofErr w:type="spellEnd"/>
      <w:r>
        <w:t xml:space="preserve"> 4-</w:t>
      </w:r>
      <w:proofErr w:type="spellStart"/>
      <w:r>
        <w:t>nitrobenzyl</w:t>
      </w:r>
      <w:proofErr w:type="spellEnd"/>
      <w:r>
        <w:t xml:space="preserve"> chloride and 4-</w:t>
      </w:r>
      <w:proofErr w:type="spellStart"/>
      <w:r>
        <w:t>nitrophenethyl</w:t>
      </w:r>
      <w:proofErr w:type="spellEnd"/>
      <w:r>
        <w:t xml:space="preserve"> bromide. Displays glutathione peroxidase activity with cumene hydroperoxide. GSTT1_</w:t>
      </w:r>
      <w:proofErr w:type="gramStart"/>
      <w:r>
        <w:t>HUMAN,P</w:t>
      </w:r>
      <w:proofErr w:type="gramEnd"/>
      <w:r>
        <w:t>30711</w:t>
      </w:r>
    </w:p>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D3"/>
    <w:rsid w:val="00051FD3"/>
    <w:rsid w:val="0021102E"/>
    <w:rsid w:val="006E1AAB"/>
    <w:rsid w:val="0076318F"/>
    <w:rsid w:val="00F50F55"/>
    <w:rsid w:val="00F7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13A3"/>
  <w15:chartTrackingRefBased/>
  <w15:docId w15:val="{55C3F14A-630B-48D7-89E5-318EFCA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E1AAB"/>
    <w:pPr>
      <w:keepNext/>
      <w:keepLines/>
      <w:spacing w:before="40" w:after="0" w:line="240" w:lineRule="auto"/>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E1AAB"/>
    <w:rPr>
      <w:rFonts w:eastAsiaTheme="majorEastAsia" w:cstheme="majorBidi"/>
      <w:b/>
      <w:color w:val="000000" w:themeColor="text1"/>
      <w:sz w:val="24"/>
      <w:szCs w:val="24"/>
    </w:rPr>
  </w:style>
  <w:style w:type="paragraph" w:customStyle="1" w:styleId="bmdsTblBody">
    <w:name w:val="bmdsTblBody"/>
    <w:basedOn w:val="Normal"/>
    <w:qFormat/>
    <w:rsid w:val="006E1AAB"/>
    <w:pPr>
      <w:spacing w:after="0" w:line="240" w:lineRule="auto"/>
    </w:pPr>
    <w:rPr>
      <w:rFonts w:ascii="Times New Roman" w:hAnsi="Times New Roman"/>
      <w:sz w:val="18"/>
      <w:szCs w:val="24"/>
    </w:rPr>
  </w:style>
  <w:style w:type="paragraph" w:customStyle="1" w:styleId="bmdsTblFootnote">
    <w:name w:val="bmdsTblFootnote"/>
    <w:basedOn w:val="bmdsTblBody"/>
    <w:qFormat/>
    <w:rsid w:val="006E1AAB"/>
  </w:style>
  <w:style w:type="paragraph" w:customStyle="1" w:styleId="bmdsTblHeader">
    <w:name w:val="bmdsTblHeader"/>
    <w:basedOn w:val="bmdsTblBody"/>
    <w:qFormat/>
    <w:rsid w:val="006E1AA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3274">
      <w:bodyDiv w:val="1"/>
      <w:marLeft w:val="0"/>
      <w:marRight w:val="0"/>
      <w:marTop w:val="0"/>
      <w:marBottom w:val="0"/>
      <w:divBdr>
        <w:top w:val="none" w:sz="0" w:space="0" w:color="auto"/>
        <w:left w:val="none" w:sz="0" w:space="0" w:color="auto"/>
        <w:bottom w:val="none" w:sz="0" w:space="0" w:color="auto"/>
        <w:right w:val="none" w:sz="0" w:space="0" w:color="auto"/>
      </w:divBdr>
    </w:div>
    <w:div w:id="264458192">
      <w:bodyDiv w:val="1"/>
      <w:marLeft w:val="0"/>
      <w:marRight w:val="0"/>
      <w:marTop w:val="0"/>
      <w:marBottom w:val="0"/>
      <w:divBdr>
        <w:top w:val="none" w:sz="0" w:space="0" w:color="auto"/>
        <w:left w:val="none" w:sz="0" w:space="0" w:color="auto"/>
        <w:bottom w:val="none" w:sz="0" w:space="0" w:color="auto"/>
        <w:right w:val="none" w:sz="0" w:space="0" w:color="auto"/>
      </w:divBdr>
    </w:div>
    <w:div w:id="13661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2021-05-21T17:08:00Z</dcterms:created>
  <dcterms:modified xsi:type="dcterms:W3CDTF">2021-07-16T14:03:00Z</dcterms:modified>
</cp:coreProperties>
</file>