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3B76F" w14:textId="77777777" w:rsidR="008C530B" w:rsidRDefault="000D2B75">
      <w:pPr>
        <w:pStyle w:val="Heading3"/>
      </w:pPr>
      <w:r>
        <w:t>Top 10 Genes Ranked by Potency of Perturbation (Sorted by BMD Median)</w:t>
      </w:r>
    </w:p>
    <w:tbl>
      <w:tblPr>
        <w:tblW w:w="0" w:type="auto"/>
        <w:tblLook w:val="04A0" w:firstRow="1" w:lastRow="0" w:firstColumn="1" w:lastColumn="0" w:noHBand="0" w:noVBand="1"/>
      </w:tblPr>
      <w:tblGrid>
        <w:gridCol w:w="1818"/>
        <w:gridCol w:w="1375"/>
        <w:gridCol w:w="2239"/>
        <w:gridCol w:w="1339"/>
        <w:gridCol w:w="1271"/>
        <w:gridCol w:w="1318"/>
      </w:tblGrid>
      <w:tr w:rsidR="008C530B" w14:paraId="57E01D56" w14:textId="77777777" w:rsidTr="000D2B75">
        <w:tc>
          <w:tcPr>
            <w:tcW w:w="1818" w:type="dxa"/>
            <w:tcBorders>
              <w:top w:val="single" w:sz="2" w:space="0" w:color="000000"/>
              <w:bottom w:val="single" w:sz="2" w:space="0" w:color="000000"/>
            </w:tcBorders>
            <w:vAlign w:val="center"/>
          </w:tcPr>
          <w:p w14:paraId="3460C4AA" w14:textId="77777777" w:rsidR="008C530B" w:rsidRDefault="000D2B75">
            <w:pPr>
              <w:pStyle w:val="bmdsTblBody"/>
            </w:pPr>
            <w:r>
              <w:rPr>
                <w:b/>
              </w:rPr>
              <w:t>Gene Symbol</w:t>
            </w:r>
          </w:p>
        </w:tc>
        <w:tc>
          <w:tcPr>
            <w:tcW w:w="1375" w:type="dxa"/>
            <w:tcBorders>
              <w:top w:val="single" w:sz="2" w:space="0" w:color="000000"/>
              <w:bottom w:val="single" w:sz="2" w:space="0" w:color="000000"/>
            </w:tcBorders>
            <w:vAlign w:val="center"/>
          </w:tcPr>
          <w:p w14:paraId="7F656F17" w14:textId="77777777" w:rsidR="008C530B" w:rsidRDefault="000D2B75">
            <w:pPr>
              <w:pStyle w:val="bmdsTblHeader"/>
              <w:jc w:val="center"/>
            </w:pPr>
            <w:r>
              <w:t>Entrez Gene IDs</w:t>
            </w:r>
          </w:p>
        </w:tc>
        <w:tc>
          <w:tcPr>
            <w:tcW w:w="2239" w:type="dxa"/>
            <w:tcBorders>
              <w:top w:val="single" w:sz="2" w:space="0" w:color="000000"/>
              <w:bottom w:val="single" w:sz="2" w:space="0" w:color="000000"/>
            </w:tcBorders>
            <w:vAlign w:val="center"/>
          </w:tcPr>
          <w:p w14:paraId="7163D48A" w14:textId="77777777" w:rsidR="008C530B" w:rsidRDefault="000D2B75">
            <w:pPr>
              <w:pStyle w:val="bmdsTblHeader"/>
              <w:jc w:val="center"/>
            </w:pPr>
            <w:r>
              <w:t>Probe IDs</w:t>
            </w:r>
          </w:p>
        </w:tc>
        <w:tc>
          <w:tcPr>
            <w:tcW w:w="1339" w:type="dxa"/>
            <w:tcBorders>
              <w:top w:val="single" w:sz="2" w:space="0" w:color="000000"/>
              <w:bottom w:val="single" w:sz="2" w:space="0" w:color="000000"/>
            </w:tcBorders>
            <w:vAlign w:val="center"/>
          </w:tcPr>
          <w:p w14:paraId="1DDDB6D5" w14:textId="77777777" w:rsidR="008C530B" w:rsidRDefault="000D2B75">
            <w:pPr>
              <w:pStyle w:val="bmdsTblHeader"/>
              <w:jc w:val="center"/>
            </w:pPr>
            <w:r>
              <w:t>BMD</w:t>
            </w:r>
            <w:r>
              <w:rPr>
                <w:vertAlign w:val="subscript"/>
              </w:rPr>
              <w:t>1Std</w:t>
            </w:r>
            <w:r>
              <w:t xml:space="preserve"> (BMDL</w:t>
            </w:r>
            <w:r>
              <w:rPr>
                <w:vertAlign w:val="subscript"/>
              </w:rPr>
              <w:t>1std</w:t>
            </w:r>
            <w:r>
              <w:t>-BMDU</w:t>
            </w:r>
            <w:r>
              <w:rPr>
                <w:vertAlign w:val="subscript"/>
              </w:rPr>
              <w:t>1std</w:t>
            </w:r>
            <w:r>
              <w:t>) in mg/kg</w:t>
            </w:r>
          </w:p>
        </w:tc>
        <w:tc>
          <w:tcPr>
            <w:tcW w:w="1271" w:type="dxa"/>
            <w:tcBorders>
              <w:top w:val="single" w:sz="2" w:space="0" w:color="000000"/>
              <w:bottom w:val="single" w:sz="2" w:space="0" w:color="000000"/>
            </w:tcBorders>
            <w:vAlign w:val="center"/>
          </w:tcPr>
          <w:p w14:paraId="5DBBD73A" w14:textId="77777777" w:rsidR="008C530B" w:rsidRDefault="000D2B75">
            <w:pPr>
              <w:pStyle w:val="bmdsTblHeader"/>
              <w:jc w:val="center"/>
            </w:pPr>
            <w:r>
              <w:t>Maximum Fold Change</w:t>
            </w:r>
          </w:p>
        </w:tc>
        <w:tc>
          <w:tcPr>
            <w:tcW w:w="1318" w:type="dxa"/>
            <w:tcBorders>
              <w:top w:val="single" w:sz="2" w:space="0" w:color="000000"/>
              <w:bottom w:val="single" w:sz="2" w:space="0" w:color="000000"/>
            </w:tcBorders>
            <w:vAlign w:val="center"/>
          </w:tcPr>
          <w:p w14:paraId="0A3CC1B6" w14:textId="77777777" w:rsidR="008C530B" w:rsidRDefault="000D2B75">
            <w:pPr>
              <w:pStyle w:val="bmdsTblHeader"/>
              <w:jc w:val="center"/>
            </w:pPr>
            <w:r>
              <w:t>Direction of Expression Change</w:t>
            </w:r>
          </w:p>
        </w:tc>
      </w:tr>
      <w:tr w:rsidR="008C530B" w14:paraId="3DCDBAF4" w14:textId="77777777" w:rsidTr="000D2B75">
        <w:tc>
          <w:tcPr>
            <w:tcW w:w="1818" w:type="dxa"/>
            <w:vAlign w:val="center"/>
          </w:tcPr>
          <w:p w14:paraId="4BD24B40" w14:textId="77777777" w:rsidR="008C530B" w:rsidRDefault="000D2B75">
            <w:pPr>
              <w:pStyle w:val="bmdsTblBody"/>
            </w:pPr>
            <w:r>
              <w:rPr>
                <w:b/>
              </w:rPr>
              <w:t>Sds</w:t>
            </w:r>
          </w:p>
        </w:tc>
        <w:tc>
          <w:tcPr>
            <w:tcW w:w="1375" w:type="dxa"/>
            <w:vAlign w:val="center"/>
          </w:tcPr>
          <w:p w14:paraId="5D9DBC60" w14:textId="77777777" w:rsidR="008C530B" w:rsidRDefault="000D2B75">
            <w:pPr>
              <w:pStyle w:val="bmdsTblBody"/>
              <w:jc w:val="center"/>
            </w:pPr>
            <w:r>
              <w:rPr>
                <w:sz w:val="16"/>
              </w:rPr>
              <w:t>25044</w:t>
            </w:r>
          </w:p>
        </w:tc>
        <w:tc>
          <w:tcPr>
            <w:tcW w:w="2239" w:type="dxa"/>
            <w:vAlign w:val="center"/>
          </w:tcPr>
          <w:p w14:paraId="07509ED2" w14:textId="77777777" w:rsidR="008C530B" w:rsidRDefault="000D2B75">
            <w:pPr>
              <w:pStyle w:val="bmdsTblBody"/>
              <w:jc w:val="center"/>
            </w:pPr>
            <w:r>
              <w:rPr>
                <w:sz w:val="16"/>
              </w:rPr>
              <w:t>1369864_a_at</w:t>
            </w:r>
          </w:p>
        </w:tc>
        <w:tc>
          <w:tcPr>
            <w:tcW w:w="1339" w:type="dxa"/>
            <w:vAlign w:val="center"/>
          </w:tcPr>
          <w:p w14:paraId="3AE9A000" w14:textId="77777777" w:rsidR="008C530B" w:rsidRDefault="000D2B75">
            <w:pPr>
              <w:pStyle w:val="bmdsTblBody"/>
              <w:jc w:val="center"/>
            </w:pPr>
            <w:r>
              <w:rPr>
                <w:sz w:val="16"/>
              </w:rPr>
              <w:t>&lt;22.0 (NR)</w:t>
            </w:r>
          </w:p>
        </w:tc>
        <w:tc>
          <w:tcPr>
            <w:tcW w:w="1271" w:type="dxa"/>
            <w:vAlign w:val="center"/>
          </w:tcPr>
          <w:p w14:paraId="2FAC054E" w14:textId="77777777" w:rsidR="008C530B" w:rsidRDefault="000D2B75">
            <w:pPr>
              <w:pStyle w:val="bmdsTblBody"/>
              <w:jc w:val="center"/>
            </w:pPr>
            <w:r>
              <w:rPr>
                <w:sz w:val="16"/>
              </w:rPr>
              <w:t>2.6</w:t>
            </w:r>
          </w:p>
        </w:tc>
        <w:tc>
          <w:tcPr>
            <w:tcW w:w="1318" w:type="dxa"/>
            <w:vAlign w:val="center"/>
          </w:tcPr>
          <w:p w14:paraId="75544AFD" w14:textId="77777777" w:rsidR="008C530B" w:rsidRDefault="000D2B75">
            <w:pPr>
              <w:pStyle w:val="bmdsTblBody"/>
              <w:jc w:val="center"/>
            </w:pPr>
            <w:r>
              <w:rPr>
                <w:sz w:val="16"/>
              </w:rPr>
              <w:t>DOWN</w:t>
            </w:r>
          </w:p>
        </w:tc>
      </w:tr>
      <w:tr w:rsidR="008C530B" w14:paraId="30E3AC23" w14:textId="77777777" w:rsidTr="000D2B75">
        <w:tc>
          <w:tcPr>
            <w:tcW w:w="1818" w:type="dxa"/>
            <w:vAlign w:val="center"/>
          </w:tcPr>
          <w:p w14:paraId="188A03FA" w14:textId="77777777" w:rsidR="008C530B" w:rsidRDefault="000D2B75">
            <w:pPr>
              <w:pStyle w:val="bmdsTblBody"/>
            </w:pPr>
            <w:r>
              <w:rPr>
                <w:b/>
              </w:rPr>
              <w:t>G6pc</w:t>
            </w:r>
          </w:p>
        </w:tc>
        <w:tc>
          <w:tcPr>
            <w:tcW w:w="1375" w:type="dxa"/>
            <w:vAlign w:val="center"/>
          </w:tcPr>
          <w:p w14:paraId="01C73F6D" w14:textId="77777777" w:rsidR="008C530B" w:rsidRDefault="000D2B75">
            <w:pPr>
              <w:pStyle w:val="bmdsTblBody"/>
              <w:jc w:val="center"/>
            </w:pPr>
            <w:r>
              <w:rPr>
                <w:sz w:val="16"/>
              </w:rPr>
              <w:t>25634</w:t>
            </w:r>
          </w:p>
        </w:tc>
        <w:tc>
          <w:tcPr>
            <w:tcW w:w="2239" w:type="dxa"/>
            <w:vAlign w:val="center"/>
          </w:tcPr>
          <w:p w14:paraId="53D8F583" w14:textId="77777777" w:rsidR="008C530B" w:rsidRDefault="000D2B75">
            <w:pPr>
              <w:pStyle w:val="bmdsTblBody"/>
              <w:jc w:val="center"/>
            </w:pPr>
            <w:r>
              <w:rPr>
                <w:sz w:val="16"/>
              </w:rPr>
              <w:t>1370725_a_at,1386944_a_at</w:t>
            </w:r>
          </w:p>
        </w:tc>
        <w:tc>
          <w:tcPr>
            <w:tcW w:w="1339" w:type="dxa"/>
            <w:vAlign w:val="center"/>
          </w:tcPr>
          <w:p w14:paraId="454F9648" w14:textId="77777777" w:rsidR="008C530B" w:rsidRDefault="000D2B75">
            <w:pPr>
              <w:pStyle w:val="bmdsTblBody"/>
              <w:jc w:val="center"/>
            </w:pPr>
            <w:r>
              <w:rPr>
                <w:sz w:val="16"/>
              </w:rPr>
              <w:t>&lt;22.0 (NR)</w:t>
            </w:r>
          </w:p>
        </w:tc>
        <w:tc>
          <w:tcPr>
            <w:tcW w:w="1271" w:type="dxa"/>
            <w:vAlign w:val="center"/>
          </w:tcPr>
          <w:p w14:paraId="19452405" w14:textId="77777777" w:rsidR="008C530B" w:rsidRDefault="000D2B75">
            <w:pPr>
              <w:pStyle w:val="bmdsTblBody"/>
              <w:jc w:val="center"/>
            </w:pPr>
            <w:r>
              <w:rPr>
                <w:sz w:val="16"/>
              </w:rPr>
              <w:t>3.4</w:t>
            </w:r>
          </w:p>
        </w:tc>
        <w:tc>
          <w:tcPr>
            <w:tcW w:w="1318" w:type="dxa"/>
            <w:vAlign w:val="center"/>
          </w:tcPr>
          <w:p w14:paraId="0C83A1D2" w14:textId="77777777" w:rsidR="008C530B" w:rsidRDefault="000D2B75">
            <w:pPr>
              <w:pStyle w:val="bmdsTblBody"/>
              <w:jc w:val="center"/>
            </w:pPr>
            <w:r>
              <w:rPr>
                <w:sz w:val="16"/>
              </w:rPr>
              <w:t>DOWN</w:t>
            </w:r>
          </w:p>
        </w:tc>
      </w:tr>
      <w:tr w:rsidR="008C530B" w14:paraId="18BF373B" w14:textId="77777777" w:rsidTr="000D2B75">
        <w:tc>
          <w:tcPr>
            <w:tcW w:w="1818" w:type="dxa"/>
            <w:vAlign w:val="center"/>
          </w:tcPr>
          <w:p w14:paraId="294F930F" w14:textId="77777777" w:rsidR="008C530B" w:rsidRDefault="000D2B75">
            <w:pPr>
              <w:pStyle w:val="bmdsTblBody"/>
            </w:pPr>
            <w:r>
              <w:rPr>
                <w:b/>
              </w:rPr>
              <w:t>Cidea</w:t>
            </w:r>
          </w:p>
        </w:tc>
        <w:tc>
          <w:tcPr>
            <w:tcW w:w="1375" w:type="dxa"/>
            <w:vAlign w:val="center"/>
          </w:tcPr>
          <w:p w14:paraId="6CC95FD8" w14:textId="77777777" w:rsidR="008C530B" w:rsidRDefault="000D2B75">
            <w:pPr>
              <w:pStyle w:val="bmdsTblBody"/>
              <w:jc w:val="center"/>
            </w:pPr>
            <w:r>
              <w:rPr>
                <w:sz w:val="16"/>
              </w:rPr>
              <w:t>291541</w:t>
            </w:r>
          </w:p>
        </w:tc>
        <w:tc>
          <w:tcPr>
            <w:tcW w:w="2239" w:type="dxa"/>
            <w:vAlign w:val="center"/>
          </w:tcPr>
          <w:p w14:paraId="046EC08F" w14:textId="77777777" w:rsidR="008C530B" w:rsidRDefault="000D2B75">
            <w:pPr>
              <w:pStyle w:val="bmdsTblBody"/>
              <w:jc w:val="center"/>
            </w:pPr>
            <w:r>
              <w:rPr>
                <w:sz w:val="16"/>
              </w:rPr>
              <w:t>1389179_at</w:t>
            </w:r>
          </w:p>
        </w:tc>
        <w:tc>
          <w:tcPr>
            <w:tcW w:w="1339" w:type="dxa"/>
            <w:vAlign w:val="center"/>
          </w:tcPr>
          <w:p w14:paraId="27DDCE65" w14:textId="77777777" w:rsidR="008C530B" w:rsidRDefault="000D2B75">
            <w:pPr>
              <w:pStyle w:val="bmdsTblBody"/>
              <w:jc w:val="center"/>
            </w:pPr>
            <w:r>
              <w:rPr>
                <w:sz w:val="16"/>
              </w:rPr>
              <w:t>&lt;22.0 (NR)</w:t>
            </w:r>
          </w:p>
        </w:tc>
        <w:tc>
          <w:tcPr>
            <w:tcW w:w="1271" w:type="dxa"/>
            <w:vAlign w:val="center"/>
          </w:tcPr>
          <w:p w14:paraId="0343C51F" w14:textId="77777777" w:rsidR="008C530B" w:rsidRDefault="000D2B75">
            <w:pPr>
              <w:pStyle w:val="bmdsTblBody"/>
              <w:jc w:val="center"/>
            </w:pPr>
            <w:r>
              <w:rPr>
                <w:sz w:val="16"/>
              </w:rPr>
              <w:t>3.0</w:t>
            </w:r>
          </w:p>
        </w:tc>
        <w:tc>
          <w:tcPr>
            <w:tcW w:w="1318" w:type="dxa"/>
            <w:vAlign w:val="center"/>
          </w:tcPr>
          <w:p w14:paraId="59EDF43A" w14:textId="77777777" w:rsidR="008C530B" w:rsidRDefault="000D2B75">
            <w:pPr>
              <w:pStyle w:val="bmdsTblBody"/>
              <w:jc w:val="center"/>
            </w:pPr>
            <w:r>
              <w:rPr>
                <w:sz w:val="16"/>
              </w:rPr>
              <w:t>UP</w:t>
            </w:r>
          </w:p>
        </w:tc>
      </w:tr>
      <w:tr w:rsidR="008C530B" w14:paraId="2F7502B4" w14:textId="77777777" w:rsidTr="000D2B75">
        <w:tc>
          <w:tcPr>
            <w:tcW w:w="1818" w:type="dxa"/>
            <w:vAlign w:val="center"/>
          </w:tcPr>
          <w:p w14:paraId="7AB69AF6" w14:textId="77777777" w:rsidR="008C530B" w:rsidRDefault="000D2B75">
            <w:pPr>
              <w:pStyle w:val="bmdsTblBody"/>
            </w:pPr>
            <w:r>
              <w:rPr>
                <w:b/>
              </w:rPr>
              <w:t>C6</w:t>
            </w:r>
          </w:p>
        </w:tc>
        <w:tc>
          <w:tcPr>
            <w:tcW w:w="1375" w:type="dxa"/>
            <w:vAlign w:val="center"/>
          </w:tcPr>
          <w:p w14:paraId="4A63C8FA" w14:textId="77777777" w:rsidR="008C530B" w:rsidRDefault="000D2B75">
            <w:pPr>
              <w:pStyle w:val="bmdsTblBody"/>
              <w:jc w:val="center"/>
            </w:pPr>
            <w:r>
              <w:rPr>
                <w:sz w:val="16"/>
              </w:rPr>
              <w:t>24237</w:t>
            </w:r>
          </w:p>
        </w:tc>
        <w:tc>
          <w:tcPr>
            <w:tcW w:w="2239" w:type="dxa"/>
            <w:vAlign w:val="center"/>
          </w:tcPr>
          <w:p w14:paraId="7121F12A" w14:textId="77777777" w:rsidR="008C530B" w:rsidRDefault="000D2B75">
            <w:pPr>
              <w:pStyle w:val="bmdsTblBody"/>
              <w:jc w:val="center"/>
            </w:pPr>
            <w:r>
              <w:rPr>
                <w:sz w:val="16"/>
              </w:rPr>
              <w:t>1384580_at</w:t>
            </w:r>
          </w:p>
        </w:tc>
        <w:tc>
          <w:tcPr>
            <w:tcW w:w="1339" w:type="dxa"/>
            <w:vAlign w:val="center"/>
          </w:tcPr>
          <w:p w14:paraId="3E2DCA00" w14:textId="77777777" w:rsidR="008C530B" w:rsidRDefault="000D2B75">
            <w:pPr>
              <w:pStyle w:val="bmdsTblBody"/>
              <w:jc w:val="center"/>
            </w:pPr>
            <w:r>
              <w:rPr>
                <w:sz w:val="16"/>
              </w:rPr>
              <w:t>&lt;22.0 (NR)</w:t>
            </w:r>
          </w:p>
        </w:tc>
        <w:tc>
          <w:tcPr>
            <w:tcW w:w="1271" w:type="dxa"/>
            <w:vAlign w:val="center"/>
          </w:tcPr>
          <w:p w14:paraId="7DAB31A5" w14:textId="77777777" w:rsidR="008C530B" w:rsidRDefault="000D2B75">
            <w:pPr>
              <w:pStyle w:val="bmdsTblBody"/>
              <w:jc w:val="center"/>
            </w:pPr>
            <w:r>
              <w:rPr>
                <w:sz w:val="16"/>
              </w:rPr>
              <w:t>2.5</w:t>
            </w:r>
          </w:p>
        </w:tc>
        <w:tc>
          <w:tcPr>
            <w:tcW w:w="1318" w:type="dxa"/>
            <w:vAlign w:val="center"/>
          </w:tcPr>
          <w:p w14:paraId="2B9C8A5E" w14:textId="77777777" w:rsidR="008C530B" w:rsidRDefault="000D2B75">
            <w:pPr>
              <w:pStyle w:val="bmdsTblBody"/>
              <w:jc w:val="center"/>
            </w:pPr>
            <w:r>
              <w:rPr>
                <w:sz w:val="16"/>
              </w:rPr>
              <w:t>DOWN</w:t>
            </w:r>
          </w:p>
        </w:tc>
      </w:tr>
      <w:tr w:rsidR="008C530B" w14:paraId="1219EDDA" w14:textId="77777777" w:rsidTr="000D2B75">
        <w:tc>
          <w:tcPr>
            <w:tcW w:w="1818" w:type="dxa"/>
            <w:vAlign w:val="center"/>
          </w:tcPr>
          <w:p w14:paraId="36F582F7" w14:textId="77777777" w:rsidR="008C530B" w:rsidRDefault="000D2B75">
            <w:pPr>
              <w:pStyle w:val="bmdsTblBody"/>
            </w:pPr>
            <w:r>
              <w:rPr>
                <w:b/>
              </w:rPr>
              <w:t>Ugt2b1</w:t>
            </w:r>
          </w:p>
        </w:tc>
        <w:tc>
          <w:tcPr>
            <w:tcW w:w="1375" w:type="dxa"/>
            <w:vAlign w:val="center"/>
          </w:tcPr>
          <w:p w14:paraId="03AE13D4" w14:textId="77777777" w:rsidR="008C530B" w:rsidRDefault="000D2B75">
            <w:pPr>
              <w:pStyle w:val="bmdsTblBody"/>
              <w:jc w:val="center"/>
            </w:pPr>
            <w:r>
              <w:rPr>
                <w:sz w:val="16"/>
              </w:rPr>
              <w:t>286954</w:t>
            </w:r>
          </w:p>
        </w:tc>
        <w:tc>
          <w:tcPr>
            <w:tcW w:w="2239" w:type="dxa"/>
            <w:vAlign w:val="center"/>
          </w:tcPr>
          <w:p w14:paraId="483B542D" w14:textId="77777777" w:rsidR="008C530B" w:rsidRDefault="000D2B75">
            <w:pPr>
              <w:pStyle w:val="bmdsTblBody"/>
              <w:jc w:val="center"/>
            </w:pPr>
            <w:r>
              <w:rPr>
                <w:sz w:val="16"/>
              </w:rPr>
              <w:t>1370698_at</w:t>
            </w:r>
          </w:p>
        </w:tc>
        <w:tc>
          <w:tcPr>
            <w:tcW w:w="1339" w:type="dxa"/>
            <w:vAlign w:val="center"/>
          </w:tcPr>
          <w:p w14:paraId="271929FA" w14:textId="77777777" w:rsidR="008C530B" w:rsidRDefault="000D2B75">
            <w:pPr>
              <w:pStyle w:val="bmdsTblBody"/>
              <w:jc w:val="center"/>
            </w:pPr>
            <w:r>
              <w:rPr>
                <w:sz w:val="16"/>
              </w:rPr>
              <w:t>&lt;22.0 (NR)</w:t>
            </w:r>
          </w:p>
        </w:tc>
        <w:tc>
          <w:tcPr>
            <w:tcW w:w="1271" w:type="dxa"/>
            <w:vAlign w:val="center"/>
          </w:tcPr>
          <w:p w14:paraId="0B6C1751" w14:textId="77777777" w:rsidR="008C530B" w:rsidRDefault="000D2B75">
            <w:pPr>
              <w:pStyle w:val="bmdsTblBody"/>
              <w:jc w:val="center"/>
            </w:pPr>
            <w:r>
              <w:rPr>
                <w:sz w:val="16"/>
              </w:rPr>
              <w:t>2.5</w:t>
            </w:r>
          </w:p>
        </w:tc>
        <w:tc>
          <w:tcPr>
            <w:tcW w:w="1318" w:type="dxa"/>
            <w:vAlign w:val="center"/>
          </w:tcPr>
          <w:p w14:paraId="4CC73A71" w14:textId="77777777" w:rsidR="008C530B" w:rsidRDefault="000D2B75">
            <w:pPr>
              <w:pStyle w:val="bmdsTblBody"/>
              <w:jc w:val="center"/>
            </w:pPr>
            <w:r>
              <w:rPr>
                <w:sz w:val="16"/>
              </w:rPr>
              <w:t>UP</w:t>
            </w:r>
          </w:p>
        </w:tc>
      </w:tr>
      <w:tr w:rsidR="008C530B" w14:paraId="751963A7" w14:textId="77777777" w:rsidTr="000D2B75">
        <w:tc>
          <w:tcPr>
            <w:tcW w:w="1818" w:type="dxa"/>
            <w:vAlign w:val="center"/>
          </w:tcPr>
          <w:p w14:paraId="07C66DC9" w14:textId="77777777" w:rsidR="008C530B" w:rsidRDefault="000D2B75">
            <w:pPr>
              <w:pStyle w:val="bmdsTblBody"/>
            </w:pPr>
            <w:r>
              <w:rPr>
                <w:b/>
              </w:rPr>
              <w:t>Cyp3a23/3a1</w:t>
            </w:r>
          </w:p>
        </w:tc>
        <w:tc>
          <w:tcPr>
            <w:tcW w:w="1375" w:type="dxa"/>
            <w:vAlign w:val="center"/>
          </w:tcPr>
          <w:p w14:paraId="626E643A" w14:textId="77777777" w:rsidR="008C530B" w:rsidRDefault="000D2B75">
            <w:pPr>
              <w:pStyle w:val="bmdsTblBody"/>
              <w:jc w:val="center"/>
            </w:pPr>
            <w:r>
              <w:rPr>
                <w:sz w:val="16"/>
              </w:rPr>
              <w:t>25642</w:t>
            </w:r>
          </w:p>
        </w:tc>
        <w:tc>
          <w:tcPr>
            <w:tcW w:w="2239" w:type="dxa"/>
            <w:vAlign w:val="center"/>
          </w:tcPr>
          <w:p w14:paraId="4007E55A" w14:textId="77777777" w:rsidR="008C530B" w:rsidRDefault="000D2B75">
            <w:pPr>
              <w:pStyle w:val="bmdsTblBody"/>
              <w:jc w:val="center"/>
            </w:pPr>
            <w:r>
              <w:rPr>
                <w:sz w:val="16"/>
              </w:rPr>
              <w:t>1387118_at</w:t>
            </w:r>
          </w:p>
        </w:tc>
        <w:tc>
          <w:tcPr>
            <w:tcW w:w="1339" w:type="dxa"/>
            <w:vAlign w:val="center"/>
          </w:tcPr>
          <w:p w14:paraId="09F69733" w14:textId="77777777" w:rsidR="008C530B" w:rsidRDefault="000D2B75">
            <w:pPr>
              <w:pStyle w:val="bmdsTblBody"/>
              <w:jc w:val="center"/>
            </w:pPr>
            <w:r>
              <w:rPr>
                <w:sz w:val="16"/>
              </w:rPr>
              <w:t>&lt;22.0 (NR)</w:t>
            </w:r>
          </w:p>
        </w:tc>
        <w:tc>
          <w:tcPr>
            <w:tcW w:w="1271" w:type="dxa"/>
            <w:vAlign w:val="center"/>
          </w:tcPr>
          <w:p w14:paraId="54132969" w14:textId="77777777" w:rsidR="008C530B" w:rsidRDefault="000D2B75">
            <w:pPr>
              <w:pStyle w:val="bmdsTblBody"/>
              <w:jc w:val="center"/>
            </w:pPr>
            <w:r>
              <w:rPr>
                <w:sz w:val="16"/>
              </w:rPr>
              <w:t>2.6</w:t>
            </w:r>
          </w:p>
        </w:tc>
        <w:tc>
          <w:tcPr>
            <w:tcW w:w="1318" w:type="dxa"/>
            <w:vAlign w:val="center"/>
          </w:tcPr>
          <w:p w14:paraId="7E288F96" w14:textId="77777777" w:rsidR="008C530B" w:rsidRDefault="000D2B75">
            <w:pPr>
              <w:pStyle w:val="bmdsTblBody"/>
              <w:jc w:val="center"/>
            </w:pPr>
            <w:r>
              <w:rPr>
                <w:sz w:val="16"/>
              </w:rPr>
              <w:t>UP</w:t>
            </w:r>
          </w:p>
        </w:tc>
      </w:tr>
      <w:tr w:rsidR="008C530B" w14:paraId="106D0444" w14:textId="77777777" w:rsidTr="000D2B75">
        <w:tc>
          <w:tcPr>
            <w:tcW w:w="1818" w:type="dxa"/>
            <w:vAlign w:val="center"/>
          </w:tcPr>
          <w:p w14:paraId="6A10E8BD" w14:textId="77777777" w:rsidR="008C530B" w:rsidRDefault="000D2B75">
            <w:pPr>
              <w:pStyle w:val="bmdsTblBody"/>
            </w:pPr>
            <w:r>
              <w:rPr>
                <w:b/>
              </w:rPr>
              <w:t>Cryl1</w:t>
            </w:r>
          </w:p>
        </w:tc>
        <w:tc>
          <w:tcPr>
            <w:tcW w:w="1375" w:type="dxa"/>
            <w:vAlign w:val="center"/>
          </w:tcPr>
          <w:p w14:paraId="25BD8A3B" w14:textId="77777777" w:rsidR="008C530B" w:rsidRDefault="000D2B75">
            <w:pPr>
              <w:pStyle w:val="bmdsTblBody"/>
              <w:jc w:val="center"/>
            </w:pPr>
            <w:r>
              <w:rPr>
                <w:sz w:val="16"/>
              </w:rPr>
              <w:t>290277</w:t>
            </w:r>
          </w:p>
        </w:tc>
        <w:tc>
          <w:tcPr>
            <w:tcW w:w="2239" w:type="dxa"/>
            <w:vAlign w:val="center"/>
          </w:tcPr>
          <w:p w14:paraId="736CBEAA" w14:textId="77777777" w:rsidR="008C530B" w:rsidRDefault="000D2B75">
            <w:pPr>
              <w:pStyle w:val="bmdsTblBody"/>
              <w:jc w:val="center"/>
            </w:pPr>
            <w:r>
              <w:rPr>
                <w:sz w:val="16"/>
              </w:rPr>
              <w:t>1376051_at</w:t>
            </w:r>
          </w:p>
        </w:tc>
        <w:tc>
          <w:tcPr>
            <w:tcW w:w="1339" w:type="dxa"/>
            <w:vAlign w:val="center"/>
          </w:tcPr>
          <w:p w14:paraId="2DDB79AB" w14:textId="77777777" w:rsidR="008C530B" w:rsidRDefault="000D2B75">
            <w:pPr>
              <w:pStyle w:val="bmdsTblBody"/>
              <w:jc w:val="center"/>
            </w:pPr>
            <w:r>
              <w:rPr>
                <w:sz w:val="16"/>
              </w:rPr>
              <w:t>&lt;22.0 (NR)</w:t>
            </w:r>
          </w:p>
        </w:tc>
        <w:tc>
          <w:tcPr>
            <w:tcW w:w="1271" w:type="dxa"/>
            <w:vAlign w:val="center"/>
          </w:tcPr>
          <w:p w14:paraId="57D75CFA" w14:textId="77777777" w:rsidR="008C530B" w:rsidRDefault="000D2B75">
            <w:pPr>
              <w:pStyle w:val="bmdsTblBody"/>
              <w:jc w:val="center"/>
            </w:pPr>
            <w:r>
              <w:rPr>
                <w:sz w:val="16"/>
              </w:rPr>
              <w:t>3.5</w:t>
            </w:r>
          </w:p>
        </w:tc>
        <w:tc>
          <w:tcPr>
            <w:tcW w:w="1318" w:type="dxa"/>
            <w:vAlign w:val="center"/>
          </w:tcPr>
          <w:p w14:paraId="7C16C413" w14:textId="77777777" w:rsidR="008C530B" w:rsidRDefault="000D2B75">
            <w:pPr>
              <w:pStyle w:val="bmdsTblBody"/>
              <w:jc w:val="center"/>
            </w:pPr>
            <w:r>
              <w:rPr>
                <w:sz w:val="16"/>
              </w:rPr>
              <w:t>UP</w:t>
            </w:r>
          </w:p>
        </w:tc>
      </w:tr>
      <w:tr w:rsidR="008C530B" w14:paraId="1C48A0DA" w14:textId="77777777" w:rsidTr="000D2B75">
        <w:tc>
          <w:tcPr>
            <w:tcW w:w="1818" w:type="dxa"/>
            <w:vAlign w:val="center"/>
          </w:tcPr>
          <w:p w14:paraId="414965D1" w14:textId="77777777" w:rsidR="008C530B" w:rsidRDefault="000D2B75">
            <w:pPr>
              <w:pStyle w:val="bmdsTblBody"/>
            </w:pPr>
            <w:r>
              <w:rPr>
                <w:b/>
              </w:rPr>
              <w:t>Abcc3</w:t>
            </w:r>
          </w:p>
        </w:tc>
        <w:tc>
          <w:tcPr>
            <w:tcW w:w="1375" w:type="dxa"/>
            <w:vAlign w:val="center"/>
          </w:tcPr>
          <w:p w14:paraId="37D3D6D9" w14:textId="77777777" w:rsidR="008C530B" w:rsidRDefault="000D2B75">
            <w:pPr>
              <w:pStyle w:val="bmdsTblBody"/>
              <w:jc w:val="center"/>
            </w:pPr>
            <w:r>
              <w:rPr>
                <w:sz w:val="16"/>
              </w:rPr>
              <w:t>140668</w:t>
            </w:r>
          </w:p>
        </w:tc>
        <w:tc>
          <w:tcPr>
            <w:tcW w:w="2239" w:type="dxa"/>
            <w:vAlign w:val="center"/>
          </w:tcPr>
          <w:p w14:paraId="54E60717" w14:textId="77777777" w:rsidR="008C530B" w:rsidRDefault="000D2B75">
            <w:pPr>
              <w:pStyle w:val="bmdsTblBody"/>
              <w:jc w:val="center"/>
            </w:pPr>
            <w:r>
              <w:rPr>
                <w:sz w:val="16"/>
              </w:rPr>
              <w:t>1369698_at</w:t>
            </w:r>
          </w:p>
        </w:tc>
        <w:tc>
          <w:tcPr>
            <w:tcW w:w="1339" w:type="dxa"/>
            <w:vAlign w:val="center"/>
          </w:tcPr>
          <w:p w14:paraId="17AAE968" w14:textId="77777777" w:rsidR="008C530B" w:rsidRDefault="000D2B75">
            <w:pPr>
              <w:pStyle w:val="bmdsTblBody"/>
              <w:jc w:val="center"/>
            </w:pPr>
            <w:r>
              <w:rPr>
                <w:sz w:val="16"/>
              </w:rPr>
              <w:t>&lt;22.0 (NR)</w:t>
            </w:r>
          </w:p>
        </w:tc>
        <w:tc>
          <w:tcPr>
            <w:tcW w:w="1271" w:type="dxa"/>
            <w:vAlign w:val="center"/>
          </w:tcPr>
          <w:p w14:paraId="12C8EB6A" w14:textId="77777777" w:rsidR="008C530B" w:rsidRDefault="000D2B75">
            <w:pPr>
              <w:pStyle w:val="bmdsTblBody"/>
              <w:jc w:val="center"/>
            </w:pPr>
            <w:r>
              <w:rPr>
                <w:sz w:val="16"/>
              </w:rPr>
              <w:t>10.7</w:t>
            </w:r>
          </w:p>
        </w:tc>
        <w:tc>
          <w:tcPr>
            <w:tcW w:w="1318" w:type="dxa"/>
            <w:vAlign w:val="center"/>
          </w:tcPr>
          <w:p w14:paraId="40FBF090" w14:textId="77777777" w:rsidR="008C530B" w:rsidRDefault="000D2B75">
            <w:pPr>
              <w:pStyle w:val="bmdsTblBody"/>
              <w:jc w:val="center"/>
            </w:pPr>
            <w:r>
              <w:rPr>
                <w:sz w:val="16"/>
              </w:rPr>
              <w:t>UP</w:t>
            </w:r>
          </w:p>
        </w:tc>
      </w:tr>
      <w:tr w:rsidR="008C530B" w14:paraId="756780E9" w14:textId="77777777" w:rsidTr="000D2B75">
        <w:tc>
          <w:tcPr>
            <w:tcW w:w="1818" w:type="dxa"/>
            <w:vAlign w:val="center"/>
          </w:tcPr>
          <w:p w14:paraId="294F8B30" w14:textId="77777777" w:rsidR="008C530B" w:rsidRDefault="000D2B75">
            <w:pPr>
              <w:pStyle w:val="bmdsTblBody"/>
            </w:pPr>
            <w:r>
              <w:rPr>
                <w:b/>
              </w:rPr>
              <w:t>Akr7a3</w:t>
            </w:r>
          </w:p>
        </w:tc>
        <w:tc>
          <w:tcPr>
            <w:tcW w:w="1375" w:type="dxa"/>
            <w:vAlign w:val="center"/>
          </w:tcPr>
          <w:p w14:paraId="6B9B688E" w14:textId="77777777" w:rsidR="008C530B" w:rsidRDefault="000D2B75">
            <w:pPr>
              <w:pStyle w:val="bmdsTblBody"/>
              <w:jc w:val="center"/>
            </w:pPr>
            <w:r>
              <w:rPr>
                <w:sz w:val="16"/>
              </w:rPr>
              <w:t>26760</w:t>
            </w:r>
          </w:p>
        </w:tc>
        <w:tc>
          <w:tcPr>
            <w:tcW w:w="2239" w:type="dxa"/>
            <w:vAlign w:val="center"/>
          </w:tcPr>
          <w:p w14:paraId="440711A9" w14:textId="77777777" w:rsidR="008C530B" w:rsidRDefault="000D2B75">
            <w:pPr>
              <w:pStyle w:val="bmdsTblBody"/>
              <w:jc w:val="center"/>
            </w:pPr>
            <w:r>
              <w:rPr>
                <w:sz w:val="16"/>
              </w:rPr>
              <w:t>1368121_at</w:t>
            </w:r>
          </w:p>
        </w:tc>
        <w:tc>
          <w:tcPr>
            <w:tcW w:w="1339" w:type="dxa"/>
            <w:vAlign w:val="center"/>
          </w:tcPr>
          <w:p w14:paraId="5E3D66D2" w14:textId="77777777" w:rsidR="008C530B" w:rsidRDefault="000D2B75">
            <w:pPr>
              <w:pStyle w:val="bmdsTblBody"/>
              <w:jc w:val="center"/>
            </w:pPr>
            <w:r>
              <w:rPr>
                <w:sz w:val="16"/>
              </w:rPr>
              <w:t>&lt;22.0 (NR)</w:t>
            </w:r>
          </w:p>
        </w:tc>
        <w:tc>
          <w:tcPr>
            <w:tcW w:w="1271" w:type="dxa"/>
            <w:vAlign w:val="center"/>
          </w:tcPr>
          <w:p w14:paraId="749E6BBD" w14:textId="77777777" w:rsidR="008C530B" w:rsidRDefault="000D2B75">
            <w:pPr>
              <w:pStyle w:val="bmdsTblBody"/>
              <w:jc w:val="center"/>
            </w:pPr>
            <w:r>
              <w:rPr>
                <w:sz w:val="16"/>
              </w:rPr>
              <w:t>3.8</w:t>
            </w:r>
          </w:p>
        </w:tc>
        <w:tc>
          <w:tcPr>
            <w:tcW w:w="1318" w:type="dxa"/>
            <w:vAlign w:val="center"/>
          </w:tcPr>
          <w:p w14:paraId="7C982F9C" w14:textId="77777777" w:rsidR="008C530B" w:rsidRDefault="000D2B75">
            <w:pPr>
              <w:pStyle w:val="bmdsTblBody"/>
              <w:jc w:val="center"/>
            </w:pPr>
            <w:r>
              <w:rPr>
                <w:sz w:val="16"/>
              </w:rPr>
              <w:t>UP</w:t>
            </w:r>
          </w:p>
        </w:tc>
      </w:tr>
      <w:tr w:rsidR="008C530B" w14:paraId="00571A35" w14:textId="77777777" w:rsidTr="000D2B75">
        <w:tc>
          <w:tcPr>
            <w:tcW w:w="1818" w:type="dxa"/>
            <w:tcBorders>
              <w:bottom w:val="single" w:sz="2" w:space="0" w:color="000000"/>
            </w:tcBorders>
            <w:vAlign w:val="center"/>
          </w:tcPr>
          <w:p w14:paraId="1EC9539F" w14:textId="77777777" w:rsidR="008C530B" w:rsidRDefault="000D2B75">
            <w:pPr>
              <w:pStyle w:val="bmdsTblBody"/>
            </w:pPr>
            <w:r>
              <w:rPr>
                <w:b/>
              </w:rPr>
              <w:t>Slc6a6</w:t>
            </w:r>
          </w:p>
        </w:tc>
        <w:tc>
          <w:tcPr>
            <w:tcW w:w="1375" w:type="dxa"/>
            <w:tcBorders>
              <w:bottom w:val="single" w:sz="2" w:space="0" w:color="000000"/>
            </w:tcBorders>
            <w:vAlign w:val="center"/>
          </w:tcPr>
          <w:p w14:paraId="2C99C0AC" w14:textId="77777777" w:rsidR="008C530B" w:rsidRDefault="000D2B75">
            <w:pPr>
              <w:pStyle w:val="bmdsTblBody"/>
              <w:jc w:val="center"/>
            </w:pPr>
            <w:r>
              <w:rPr>
                <w:sz w:val="16"/>
              </w:rPr>
              <w:t>29464</w:t>
            </w:r>
          </w:p>
        </w:tc>
        <w:tc>
          <w:tcPr>
            <w:tcW w:w="2239" w:type="dxa"/>
            <w:tcBorders>
              <w:bottom w:val="single" w:sz="2" w:space="0" w:color="000000"/>
            </w:tcBorders>
            <w:vAlign w:val="center"/>
          </w:tcPr>
          <w:p w14:paraId="21814C05" w14:textId="77777777" w:rsidR="008C530B" w:rsidRDefault="000D2B75">
            <w:pPr>
              <w:pStyle w:val="bmdsTblBody"/>
              <w:jc w:val="center"/>
            </w:pPr>
            <w:r>
              <w:rPr>
                <w:sz w:val="16"/>
              </w:rPr>
              <w:t>1368778_at,1374531_at</w:t>
            </w:r>
          </w:p>
        </w:tc>
        <w:tc>
          <w:tcPr>
            <w:tcW w:w="1339" w:type="dxa"/>
            <w:tcBorders>
              <w:bottom w:val="single" w:sz="2" w:space="0" w:color="000000"/>
            </w:tcBorders>
            <w:vAlign w:val="center"/>
          </w:tcPr>
          <w:p w14:paraId="784E24DE" w14:textId="77777777" w:rsidR="008C530B" w:rsidRDefault="000D2B75">
            <w:pPr>
              <w:pStyle w:val="bmdsTblBody"/>
              <w:jc w:val="center"/>
            </w:pPr>
            <w:r>
              <w:rPr>
                <w:sz w:val="16"/>
              </w:rPr>
              <w:t>&lt;22.0 (NR)</w:t>
            </w:r>
          </w:p>
        </w:tc>
        <w:tc>
          <w:tcPr>
            <w:tcW w:w="1271" w:type="dxa"/>
            <w:tcBorders>
              <w:bottom w:val="single" w:sz="2" w:space="0" w:color="000000"/>
            </w:tcBorders>
            <w:vAlign w:val="center"/>
          </w:tcPr>
          <w:p w14:paraId="68E95CAC" w14:textId="77777777" w:rsidR="008C530B" w:rsidRDefault="000D2B75">
            <w:pPr>
              <w:pStyle w:val="bmdsTblBody"/>
              <w:jc w:val="center"/>
            </w:pPr>
            <w:r>
              <w:rPr>
                <w:sz w:val="16"/>
              </w:rPr>
              <w:t>14.5</w:t>
            </w:r>
          </w:p>
        </w:tc>
        <w:tc>
          <w:tcPr>
            <w:tcW w:w="1318" w:type="dxa"/>
            <w:tcBorders>
              <w:bottom w:val="single" w:sz="2" w:space="0" w:color="000000"/>
            </w:tcBorders>
            <w:vAlign w:val="center"/>
          </w:tcPr>
          <w:p w14:paraId="5B950E6C" w14:textId="77777777" w:rsidR="008C530B" w:rsidRDefault="000D2B75">
            <w:pPr>
              <w:pStyle w:val="bmdsTblBody"/>
              <w:jc w:val="center"/>
            </w:pPr>
            <w:r>
              <w:rPr>
                <w:sz w:val="16"/>
              </w:rPr>
              <w:t>DOWN</w:t>
            </w:r>
          </w:p>
        </w:tc>
      </w:tr>
    </w:tbl>
    <w:p w14:paraId="65B191AC" w14:textId="77777777" w:rsidR="000D2B75" w:rsidRDefault="000D2B75" w:rsidP="000D2B75">
      <w:pPr>
        <w:pStyle w:val="bmdsTblFootnote"/>
      </w:pPr>
      <w:r>
        <w:t xml:space="preserve">Descriptions of orthologous human genes are shown due to the increased detail that is available in public resources such as </w:t>
      </w:r>
      <w:proofErr w:type="spellStart"/>
      <w:r>
        <w:t>UniprotKB</w:t>
      </w:r>
      <w:proofErr w:type="spellEnd"/>
      <w:r>
        <w:t xml:space="preserve"> (https://www.uniprot.org/uniprot/) and Entrez Gene (https://www.ncbi.nlm.nih.gov/gene/). Human </w:t>
      </w:r>
      <w:proofErr w:type="spellStart"/>
      <w:r>
        <w:t>UniprotKB</w:t>
      </w:r>
      <w:proofErr w:type="spellEnd"/>
      <w:r>
        <w:t xml:space="preserve"> was used as primary resource due to the greater breadth of annotation and depth of functional detail that is provided. Rat </w:t>
      </w:r>
      <w:proofErr w:type="spellStart"/>
      <w:r>
        <w:t>UniprotKB</w:t>
      </w:r>
      <w:proofErr w:type="spellEnd"/>
      <w:r>
        <w:t xml:space="preserve"> was used as the second resource if the primary source did not provide a detailed description of function. Human Entrez gene summary was used as third resource.  Rat Entrez gene summary was used as the fourth resource.</w:t>
      </w:r>
    </w:p>
    <w:p w14:paraId="682E62C0" w14:textId="77777777" w:rsidR="000D2B75" w:rsidRDefault="000D2B75" w:rsidP="000D2B75">
      <w:pPr>
        <w:pStyle w:val="bmdsTblFootnote"/>
      </w:pPr>
      <w:r>
        <w:t>&lt;22.0 = A best-fit model as identified calculated a BMD that was less than 1/3 of the lowest tested dose in this study.</w:t>
      </w:r>
    </w:p>
    <w:p w14:paraId="568F55D6" w14:textId="77777777" w:rsidR="000D2B75" w:rsidRDefault="000D2B75" w:rsidP="000D2B75">
      <w:pPr>
        <w:pStyle w:val="bmdsTblFootnote"/>
      </w:pPr>
      <w:r>
        <w:t>NR = The BMDL-BMDU range is not reportable because the BMD median is below the lower limit of extrapolation (less than 1/3 of the lowest tested dose in this study).</w:t>
      </w:r>
    </w:p>
    <w:p w14:paraId="23010505" w14:textId="77777777" w:rsidR="003100A9" w:rsidRDefault="003100A9" w:rsidP="003100A9">
      <w:pPr>
        <w:pStyle w:val="bmdsTblFootnote"/>
      </w:pPr>
      <w:r>
        <w:rPr>
          <w:b/>
        </w:rPr>
        <w:t>Gene definition version</w:t>
      </w:r>
      <w:r w:rsidRPr="00A26DAE">
        <w:rPr>
          <w:b/>
        </w:rPr>
        <w:t>:</w:t>
      </w:r>
      <w:r w:rsidRPr="00A26DAE">
        <w:t xml:space="preserve"> https://cebs.niehs</w:t>
      </w:r>
      <w:r>
        <w:t xml:space="preserve">.nih.gov/cebs/study/002-00600-0002-000-0 </w:t>
      </w:r>
      <w:proofErr w:type="spellStart"/>
      <w:r>
        <w:t>V05282021</w:t>
      </w:r>
      <w:proofErr w:type="spellEnd"/>
    </w:p>
    <w:p w14:paraId="5A283036" w14:textId="77777777" w:rsidR="000D2B75" w:rsidRDefault="000D2B75" w:rsidP="000D2B75">
      <w:pPr>
        <w:pStyle w:val="bmdsTblFootnote"/>
      </w:pPr>
      <w:proofErr w:type="spellStart"/>
      <w:r>
        <w:rPr>
          <w:b/>
        </w:rPr>
        <w:t>Sds</w:t>
      </w:r>
      <w:proofErr w:type="spellEnd"/>
      <w:r>
        <w:rPr>
          <w:b/>
        </w:rPr>
        <w:t>:</w:t>
      </w:r>
      <w:r>
        <w:rPr>
          <w:i/>
        </w:rPr>
        <w:t xml:space="preserve"> Human Entrez Gene Summary (Human SDS):</w:t>
      </w:r>
      <w:r>
        <w:t xml:space="preserve"> This gene encodes one of three enzymes that are involved in metabolizing serine and glycine. L-serine dehydratase converts L-serine to pyruvate and ammonia and requires pyridoxal phosphate as a cofactor. The encoded protein can also metabolize threonine to NH4+ and 2-</w:t>
      </w:r>
      <w:proofErr w:type="spellStart"/>
      <w:r>
        <w:t>ketobutyrate</w:t>
      </w:r>
      <w:proofErr w:type="spellEnd"/>
      <w:r>
        <w:t xml:space="preserve">. The encoded protein is found predominantly in the liver. [provided by </w:t>
      </w:r>
      <w:proofErr w:type="spellStart"/>
      <w:r>
        <w:t>RefSeq</w:t>
      </w:r>
      <w:proofErr w:type="spellEnd"/>
      <w:r>
        <w:t>, Jul 2008]</w:t>
      </w:r>
    </w:p>
    <w:p w14:paraId="52CE6FFE" w14:textId="77777777" w:rsidR="000D2B75" w:rsidRDefault="000D2B75" w:rsidP="000D2B75">
      <w:pPr>
        <w:pStyle w:val="bmdsTblFootnote"/>
      </w:pPr>
      <w:proofErr w:type="spellStart"/>
      <w:r>
        <w:rPr>
          <w:b/>
        </w:rPr>
        <w:t>G6pc</w:t>
      </w:r>
      <w:proofErr w:type="spellEnd"/>
      <w:r>
        <w:rPr>
          <w:b/>
        </w:rPr>
        <w:t>:</w:t>
      </w:r>
      <w:r>
        <w:t xml:space="preserve"> </w:t>
      </w:r>
      <w:r>
        <w:rPr>
          <w:i/>
        </w:rPr>
        <w:t xml:space="preserve">Human </w:t>
      </w:r>
      <w:proofErr w:type="spellStart"/>
      <w:r>
        <w:rPr>
          <w:i/>
        </w:rPr>
        <w:t>Uniprot</w:t>
      </w:r>
      <w:proofErr w:type="spellEnd"/>
      <w:r>
        <w:rPr>
          <w:i/>
        </w:rPr>
        <w:t xml:space="preserve"> function (Human </w:t>
      </w:r>
      <w:r w:rsidRPr="0048264D">
        <w:rPr>
          <w:i/>
        </w:rPr>
        <w:t>G6PC1</w:t>
      </w:r>
      <w:r>
        <w:rPr>
          <w:i/>
        </w:rPr>
        <w:t>):</w:t>
      </w:r>
      <w:r>
        <w:t xml:space="preserve"> </w:t>
      </w:r>
      <w:r w:rsidRPr="0048264D">
        <w:t>Hydrolyzes glucose-6-phosphate to glucose in the endoplasmic reticulum. Forms with the glucose-6-phosphate transporter (SLC37A4/G6PT) the complex responsible for glucose production through glycogenolysis and gluconeogenesis. Hence, it is the key enzyme in homeostatic regulation of blood glucose levels.</w:t>
      </w:r>
    </w:p>
    <w:p w14:paraId="54AB3E16" w14:textId="77777777" w:rsidR="000D2B75" w:rsidRDefault="000D2B75" w:rsidP="000D2B75">
      <w:pPr>
        <w:pStyle w:val="bmdsTblFootnote"/>
      </w:pPr>
      <w:proofErr w:type="spellStart"/>
      <w:r>
        <w:rPr>
          <w:b/>
        </w:rPr>
        <w:t>Cidea</w:t>
      </w:r>
      <w:proofErr w:type="spellEnd"/>
      <w:r>
        <w:rPr>
          <w:b/>
        </w:rPr>
        <w:t>:</w:t>
      </w:r>
      <w:r>
        <w:rPr>
          <w:i/>
        </w:rPr>
        <w:t xml:space="preserve"> Human </w:t>
      </w:r>
      <w:proofErr w:type="spellStart"/>
      <w:r>
        <w:rPr>
          <w:i/>
        </w:rPr>
        <w:t>Uniprot</w:t>
      </w:r>
      <w:proofErr w:type="spellEnd"/>
      <w:r>
        <w:rPr>
          <w:i/>
        </w:rPr>
        <w:t xml:space="preserve"> function (Human CIDEA):</w:t>
      </w:r>
      <w:r>
        <w:t xml:space="preserve"> Acts as a CEBPB coactivator in mammary epithelial cells to control the expression of a subset of CEBPB downstream target genes, including ID2, IGF1, PRLR, SOCS1, SOCS3, XDH, but not casein. By interacting with CEBPB, strengthens the association of CEBPB with the XDH promoter, increases histone acetylation and dissociates HDAC1 from the promoter (By similarity). Binds to lipid droplets and regulates their enlargement, thereby restricting lipolysis and favoring storage. At focal contact sites between lipid droplets, promotes directional net neutral lipid transfer from the smaller to larger lipid droplets. The transfer direction may be driven by the internal pressure difference between the contacting lipid droplet pair and occurs at a lower rate than that promoted by CIDEC. When overexpressed, induces apoptosis. The physiological significance of its role in apoptosis is unclear. {ECO0000250, </w:t>
      </w:r>
      <w:proofErr w:type="spellStart"/>
      <w:r>
        <w:t>ECO0000269|PubMed19843876</w:t>
      </w:r>
      <w:proofErr w:type="spellEnd"/>
      <w:r>
        <w:t>}.</w:t>
      </w:r>
    </w:p>
    <w:p w14:paraId="4879B187" w14:textId="77777777" w:rsidR="000D2B75" w:rsidRDefault="000D2B75" w:rsidP="000D2B75">
      <w:pPr>
        <w:pStyle w:val="bmdsTblFootnote"/>
      </w:pPr>
      <w:proofErr w:type="spellStart"/>
      <w:r>
        <w:rPr>
          <w:b/>
        </w:rPr>
        <w:t>C6</w:t>
      </w:r>
      <w:proofErr w:type="spellEnd"/>
      <w:r>
        <w:rPr>
          <w:b/>
        </w:rPr>
        <w:t>:</w:t>
      </w:r>
      <w:r>
        <w:rPr>
          <w:i/>
        </w:rPr>
        <w:t xml:space="preserve"> Human </w:t>
      </w:r>
      <w:proofErr w:type="spellStart"/>
      <w:r>
        <w:rPr>
          <w:i/>
        </w:rPr>
        <w:t>Uniprot</w:t>
      </w:r>
      <w:proofErr w:type="spellEnd"/>
      <w:r>
        <w:rPr>
          <w:i/>
        </w:rPr>
        <w:t xml:space="preserve"> function (Human </w:t>
      </w:r>
      <w:proofErr w:type="spellStart"/>
      <w:r>
        <w:rPr>
          <w:i/>
        </w:rPr>
        <w:t>C6</w:t>
      </w:r>
      <w:proofErr w:type="spellEnd"/>
      <w:r>
        <w:rPr>
          <w:i/>
        </w:rPr>
        <w:t>):</w:t>
      </w:r>
      <w:r>
        <w:t xml:space="preserve"> Constituent of the membrane attack complex (MAC) that plays a key role in the innate and adaptive immune response by forming pores in the plasma membrane of target cells.</w:t>
      </w:r>
    </w:p>
    <w:p w14:paraId="7F9C5238" w14:textId="77777777" w:rsidR="000D2B75" w:rsidRDefault="000D2B75" w:rsidP="000D2B75">
      <w:pPr>
        <w:pStyle w:val="bmdsTblFootnote"/>
      </w:pPr>
      <w:proofErr w:type="spellStart"/>
      <w:r>
        <w:rPr>
          <w:b/>
        </w:rPr>
        <w:t>Ugt2b1</w:t>
      </w:r>
      <w:proofErr w:type="spellEnd"/>
      <w:r>
        <w:rPr>
          <w:b/>
        </w:rPr>
        <w:t>:</w:t>
      </w:r>
      <w:r>
        <w:rPr>
          <w:i/>
        </w:rPr>
        <w:t xml:space="preserve"> Human </w:t>
      </w:r>
      <w:proofErr w:type="spellStart"/>
      <w:r>
        <w:rPr>
          <w:i/>
        </w:rPr>
        <w:t>Uniprot</w:t>
      </w:r>
      <w:proofErr w:type="spellEnd"/>
      <w:r>
        <w:rPr>
          <w:i/>
        </w:rPr>
        <w:t xml:space="preserve"> function (Human UGT2B17):</w:t>
      </w:r>
      <w:r>
        <w:t xml:space="preserve"> UDP-glucuronosyltransferase (UGT) that catalyzes phase II biotransformation reactions in which lipophilic substrates are conjugated with glucuronic acid to increase the metabolite's water solubility, thereby facilitating excretion into either the urine or bile (</w:t>
      </w:r>
      <w:proofErr w:type="spellStart"/>
      <w:r>
        <w:t>PubMed8798464</w:t>
      </w:r>
      <w:proofErr w:type="spellEnd"/>
      <w:r>
        <w:t xml:space="preserve">, </w:t>
      </w:r>
      <w:proofErr w:type="spellStart"/>
      <w:r>
        <w:t>PubMed16595710</w:t>
      </w:r>
      <w:proofErr w:type="spellEnd"/>
      <w:r>
        <w:t xml:space="preserve">, </w:t>
      </w:r>
      <w:proofErr w:type="spellStart"/>
      <w:r>
        <w:t>PubMed18719240</w:t>
      </w:r>
      <w:proofErr w:type="spellEnd"/>
      <w:r>
        <w:t xml:space="preserve">, </w:t>
      </w:r>
      <w:proofErr w:type="spellStart"/>
      <w:r>
        <w:t>PubMed19022937</w:t>
      </w:r>
      <w:proofErr w:type="spellEnd"/>
      <w:r>
        <w:t xml:space="preserve">, </w:t>
      </w:r>
      <w:proofErr w:type="spellStart"/>
      <w:r>
        <w:t>PubMed23288867</w:t>
      </w:r>
      <w:proofErr w:type="spellEnd"/>
      <w:r>
        <w:t xml:space="preserve">). Catalyzes the glucuronidation of endogenous steroid hormones such as androgens (epitestosterone, androsterone) and estrogens (estradiol, </w:t>
      </w:r>
      <w:proofErr w:type="spellStart"/>
      <w:r>
        <w:t>epiestradiol</w:t>
      </w:r>
      <w:proofErr w:type="spellEnd"/>
      <w:r>
        <w:t>) (</w:t>
      </w:r>
      <w:proofErr w:type="spellStart"/>
      <w:r>
        <w:t>PubMed8798464</w:t>
      </w:r>
      <w:proofErr w:type="spellEnd"/>
      <w:r>
        <w:t xml:space="preserve">, </w:t>
      </w:r>
      <w:proofErr w:type="spellStart"/>
      <w:r>
        <w:t>PubMed16595710</w:t>
      </w:r>
      <w:proofErr w:type="spellEnd"/>
      <w:r>
        <w:t xml:space="preserve">, </w:t>
      </w:r>
      <w:proofErr w:type="spellStart"/>
      <w:r>
        <w:t>PubMed18719240</w:t>
      </w:r>
      <w:proofErr w:type="spellEnd"/>
      <w:r>
        <w:t xml:space="preserve">, </w:t>
      </w:r>
      <w:proofErr w:type="spellStart"/>
      <w:r>
        <w:t>PubMed19022937</w:t>
      </w:r>
      <w:proofErr w:type="spellEnd"/>
      <w:r>
        <w:t xml:space="preserve">, </w:t>
      </w:r>
      <w:proofErr w:type="spellStart"/>
      <w:r>
        <w:t>PubMed23288867</w:t>
      </w:r>
      <w:proofErr w:type="spellEnd"/>
      <w:r>
        <w:t>). {</w:t>
      </w:r>
      <w:proofErr w:type="spellStart"/>
      <w:r>
        <w:t>ECO0000269|PubMed16595710</w:t>
      </w:r>
      <w:proofErr w:type="spellEnd"/>
      <w:r>
        <w:t xml:space="preserve">, </w:t>
      </w:r>
      <w:proofErr w:type="spellStart"/>
      <w:r>
        <w:t>ECO0000269|PubMed18719240</w:t>
      </w:r>
      <w:proofErr w:type="spellEnd"/>
      <w:r>
        <w:t xml:space="preserve">, </w:t>
      </w:r>
      <w:proofErr w:type="spellStart"/>
      <w:r>
        <w:t>ECO0000269|PubMed19022937</w:t>
      </w:r>
      <w:proofErr w:type="spellEnd"/>
      <w:r>
        <w:t xml:space="preserve">, </w:t>
      </w:r>
      <w:proofErr w:type="spellStart"/>
      <w:r>
        <w:t>ECO0000269|PubMed23288867</w:t>
      </w:r>
      <w:proofErr w:type="spellEnd"/>
      <w:r>
        <w:t xml:space="preserve">, </w:t>
      </w:r>
      <w:proofErr w:type="spellStart"/>
      <w:r>
        <w:t>ECO0000269|PubMed8798464</w:t>
      </w:r>
      <w:proofErr w:type="spellEnd"/>
      <w:r>
        <w:t>}.</w:t>
      </w:r>
    </w:p>
    <w:p w14:paraId="2B0B27CE" w14:textId="77777777" w:rsidR="000D2B75" w:rsidRDefault="000D2B75" w:rsidP="000D2B75">
      <w:pPr>
        <w:pStyle w:val="bmdsTblFootnote"/>
      </w:pPr>
      <w:bookmarkStart w:id="0" w:name="_Hlk77319081"/>
      <w:proofErr w:type="spellStart"/>
      <w:r>
        <w:rPr>
          <w:b/>
        </w:rPr>
        <w:t>Cyp3a23</w:t>
      </w:r>
      <w:proofErr w:type="spellEnd"/>
      <w:r>
        <w:rPr>
          <w:b/>
        </w:rPr>
        <w:t>/</w:t>
      </w:r>
      <w:proofErr w:type="spellStart"/>
      <w:r>
        <w:rPr>
          <w:b/>
        </w:rPr>
        <w:t>3a1</w:t>
      </w:r>
      <w:proofErr w:type="spellEnd"/>
      <w:r>
        <w:rPr>
          <w:b/>
        </w:rPr>
        <w:t>:</w:t>
      </w:r>
      <w:r>
        <w:t xml:space="preserve"> </w:t>
      </w:r>
      <w:r>
        <w:rPr>
          <w:i/>
        </w:rPr>
        <w:t xml:space="preserve">Human </w:t>
      </w:r>
      <w:proofErr w:type="spellStart"/>
      <w:r>
        <w:rPr>
          <w:i/>
        </w:rPr>
        <w:t>Uniprot</w:t>
      </w:r>
      <w:proofErr w:type="spellEnd"/>
      <w:r>
        <w:rPr>
          <w:i/>
        </w:rPr>
        <w:t xml:space="preserve"> function (Human </w:t>
      </w:r>
      <w:r w:rsidRPr="00437C2D">
        <w:rPr>
          <w:i/>
        </w:rPr>
        <w:t>CYP3A4</w:t>
      </w:r>
      <w:r>
        <w:rPr>
          <w:i/>
        </w:rPr>
        <w:t>):</w:t>
      </w:r>
      <w:r>
        <w:t xml:space="preserve"> </w:t>
      </w:r>
      <w:r w:rsidRPr="00437C2D">
        <w:t xml:space="preserve">A cytochrome </w:t>
      </w:r>
      <w:proofErr w:type="spellStart"/>
      <w:r w:rsidRPr="00437C2D">
        <w:t>P450</w:t>
      </w:r>
      <w:proofErr w:type="spellEnd"/>
      <w:r w:rsidRPr="00437C2D">
        <w:t xml:space="preserve"> monooxygenase involved in the metabolism of sterols, steroid hormones, retinoids and fatty acids (</w:t>
      </w:r>
      <w:proofErr w:type="spellStart"/>
      <w:r w:rsidRPr="00437C2D">
        <w:t>PubMed:10681376</w:t>
      </w:r>
      <w:proofErr w:type="spellEnd"/>
      <w:r w:rsidRPr="00437C2D">
        <w:t xml:space="preserve">, </w:t>
      </w:r>
      <w:proofErr w:type="spellStart"/>
      <w:r w:rsidRPr="00437C2D">
        <w:t>PubMed:11093772</w:t>
      </w:r>
      <w:proofErr w:type="spellEnd"/>
      <w:r w:rsidRPr="00437C2D">
        <w:t xml:space="preserve">, </w:t>
      </w:r>
      <w:proofErr w:type="spellStart"/>
      <w:r w:rsidRPr="00437C2D">
        <w:t>PubMed:11555828</w:t>
      </w:r>
      <w:proofErr w:type="spellEnd"/>
      <w:r w:rsidRPr="00437C2D">
        <w:t xml:space="preserve">, </w:t>
      </w:r>
      <w:proofErr w:type="spellStart"/>
      <w:r w:rsidRPr="00437C2D">
        <w:t>PubMed:14559847</w:t>
      </w:r>
      <w:proofErr w:type="spellEnd"/>
      <w:r w:rsidRPr="00437C2D">
        <w:t xml:space="preserve">, </w:t>
      </w:r>
      <w:proofErr w:type="spellStart"/>
      <w:r w:rsidRPr="00437C2D">
        <w:t>PubMed:12865317</w:t>
      </w:r>
      <w:proofErr w:type="spellEnd"/>
      <w:r w:rsidRPr="00437C2D">
        <w:t xml:space="preserve">, </w:t>
      </w:r>
      <w:proofErr w:type="spellStart"/>
      <w:r w:rsidRPr="00437C2D">
        <w:t>PubMed:15373842</w:t>
      </w:r>
      <w:proofErr w:type="spellEnd"/>
      <w:r w:rsidRPr="00437C2D">
        <w:t xml:space="preserve">, </w:t>
      </w:r>
      <w:proofErr w:type="spellStart"/>
      <w:r w:rsidRPr="00437C2D">
        <w:t>PubMed:15764715</w:t>
      </w:r>
      <w:proofErr w:type="spellEnd"/>
      <w:r w:rsidRPr="00437C2D">
        <w:t xml:space="preserve">, </w:t>
      </w:r>
      <w:proofErr w:type="spellStart"/>
      <w:r w:rsidRPr="00437C2D">
        <w:t>PubMed:20702771</w:t>
      </w:r>
      <w:proofErr w:type="spellEnd"/>
      <w:r w:rsidRPr="00437C2D">
        <w:t xml:space="preserve">, </w:t>
      </w:r>
      <w:proofErr w:type="spellStart"/>
      <w:r w:rsidRPr="00437C2D">
        <w:t>PubMed:19965576</w:t>
      </w:r>
      <w:proofErr w:type="spellEnd"/>
      <w:r w:rsidRPr="00437C2D">
        <w:t xml:space="preserve">, </w:t>
      </w:r>
      <w:proofErr w:type="spellStart"/>
      <w:r w:rsidRPr="00437C2D">
        <w:t>PubMed:21490593</w:t>
      </w:r>
      <w:proofErr w:type="spellEnd"/>
      <w:r w:rsidRPr="00437C2D">
        <w:t xml:space="preserve">, </w:t>
      </w:r>
      <w:proofErr w:type="spellStart"/>
      <w:r w:rsidRPr="00437C2D">
        <w:t>PubMed:21576599</w:t>
      </w:r>
      <w:proofErr w:type="spellEnd"/>
      <w:r w:rsidRPr="00437C2D">
        <w:t xml:space="preserve">). Mechanistically, uses molecular oxygen inserting one oxygen atom into a substrate, and reducing the second into a water molecule, with two electrons provided by NADPH via cytochrome </w:t>
      </w:r>
      <w:proofErr w:type="spellStart"/>
      <w:r w:rsidRPr="00437C2D">
        <w:t>P450</w:t>
      </w:r>
      <w:proofErr w:type="spellEnd"/>
      <w:r w:rsidRPr="00437C2D">
        <w:t xml:space="preserve"> reductase (NADPH--hemoprotein reductase). Catalyzes the hydroxylation of carbon-hydrogen bonds (</w:t>
      </w:r>
      <w:proofErr w:type="spellStart"/>
      <w:r w:rsidRPr="00437C2D">
        <w:t>PubMed:2732228</w:t>
      </w:r>
      <w:proofErr w:type="spellEnd"/>
      <w:r w:rsidRPr="00437C2D">
        <w:t xml:space="preserve">, </w:t>
      </w:r>
      <w:proofErr w:type="spellStart"/>
      <w:r w:rsidRPr="00437C2D">
        <w:t>PubMed:14559847</w:t>
      </w:r>
      <w:proofErr w:type="spellEnd"/>
      <w:r w:rsidRPr="00437C2D">
        <w:t xml:space="preserve">, </w:t>
      </w:r>
      <w:proofErr w:type="spellStart"/>
      <w:r w:rsidRPr="00437C2D">
        <w:t>PubMed:12865317</w:t>
      </w:r>
      <w:proofErr w:type="spellEnd"/>
      <w:r w:rsidRPr="00437C2D">
        <w:t xml:space="preserve">, </w:t>
      </w:r>
      <w:proofErr w:type="spellStart"/>
      <w:r w:rsidRPr="00437C2D">
        <w:t>PubMed:15373842</w:t>
      </w:r>
      <w:proofErr w:type="spellEnd"/>
      <w:r w:rsidRPr="00437C2D">
        <w:t xml:space="preserve">, </w:t>
      </w:r>
      <w:proofErr w:type="spellStart"/>
      <w:r w:rsidRPr="00437C2D">
        <w:t>PubMed:15764715</w:t>
      </w:r>
      <w:proofErr w:type="spellEnd"/>
      <w:r w:rsidRPr="00437C2D">
        <w:t xml:space="preserve">, </w:t>
      </w:r>
      <w:proofErr w:type="spellStart"/>
      <w:r w:rsidRPr="00437C2D">
        <w:t>PubMed:21576599</w:t>
      </w:r>
      <w:proofErr w:type="spellEnd"/>
      <w:r w:rsidRPr="00437C2D">
        <w:t xml:space="preserve">, </w:t>
      </w:r>
      <w:proofErr w:type="spellStart"/>
      <w:r w:rsidRPr="00437C2D">
        <w:t>PubMed:21490593</w:t>
      </w:r>
      <w:proofErr w:type="spellEnd"/>
      <w:r w:rsidRPr="00437C2D">
        <w:t xml:space="preserve">). Exhibits high catalytic activity for the formation of </w:t>
      </w:r>
      <w:proofErr w:type="spellStart"/>
      <w:r w:rsidRPr="00437C2D">
        <w:t>hydroxyestrogens</w:t>
      </w:r>
      <w:proofErr w:type="spellEnd"/>
      <w:r w:rsidRPr="00437C2D">
        <w:t xml:space="preserve"> from estrone (</w:t>
      </w:r>
      <w:proofErr w:type="spellStart"/>
      <w:r w:rsidRPr="00437C2D">
        <w:t>E1</w:t>
      </w:r>
      <w:proofErr w:type="spellEnd"/>
      <w:r w:rsidRPr="00437C2D">
        <w:t xml:space="preserve">) and </w:t>
      </w:r>
      <w:proofErr w:type="spellStart"/>
      <w:r w:rsidRPr="00437C2D">
        <w:t>17beta</w:t>
      </w:r>
      <w:proofErr w:type="spellEnd"/>
      <w:r w:rsidRPr="00437C2D">
        <w:t>-estradiol (</w:t>
      </w:r>
      <w:proofErr w:type="spellStart"/>
      <w:r w:rsidRPr="00437C2D">
        <w:t>E2</w:t>
      </w:r>
      <w:proofErr w:type="spellEnd"/>
      <w:r w:rsidRPr="00437C2D">
        <w:t xml:space="preserve">), namely 2-hydroxy </w:t>
      </w:r>
      <w:proofErr w:type="spellStart"/>
      <w:r w:rsidRPr="00437C2D">
        <w:t>E1</w:t>
      </w:r>
      <w:proofErr w:type="spellEnd"/>
      <w:r w:rsidRPr="00437C2D">
        <w:t xml:space="preserve"> and </w:t>
      </w:r>
      <w:proofErr w:type="spellStart"/>
      <w:r w:rsidRPr="00437C2D">
        <w:t>E2</w:t>
      </w:r>
      <w:proofErr w:type="spellEnd"/>
      <w:r w:rsidRPr="00437C2D">
        <w:t xml:space="preserve">, as well as D-ring hydroxylated </w:t>
      </w:r>
      <w:proofErr w:type="spellStart"/>
      <w:r w:rsidRPr="00437C2D">
        <w:t>E1</w:t>
      </w:r>
      <w:proofErr w:type="spellEnd"/>
      <w:r w:rsidRPr="00437C2D">
        <w:t xml:space="preserve"> and </w:t>
      </w:r>
      <w:proofErr w:type="spellStart"/>
      <w:r w:rsidRPr="00437C2D">
        <w:t>E2</w:t>
      </w:r>
      <w:proofErr w:type="spellEnd"/>
      <w:r w:rsidRPr="00437C2D">
        <w:t xml:space="preserve"> at the C-16 position (</w:t>
      </w:r>
      <w:proofErr w:type="spellStart"/>
      <w:r w:rsidRPr="00437C2D">
        <w:t>PubMed:11555828</w:t>
      </w:r>
      <w:proofErr w:type="spellEnd"/>
      <w:r w:rsidRPr="00437C2D">
        <w:t xml:space="preserve">, </w:t>
      </w:r>
      <w:proofErr w:type="spellStart"/>
      <w:r w:rsidRPr="00437C2D">
        <w:t>PubMed:14559847</w:t>
      </w:r>
      <w:proofErr w:type="spellEnd"/>
      <w:r w:rsidRPr="00437C2D">
        <w:t xml:space="preserve">, </w:t>
      </w:r>
      <w:proofErr w:type="spellStart"/>
      <w:r w:rsidRPr="00437C2D">
        <w:t>PubMed:12865317</w:t>
      </w:r>
      <w:proofErr w:type="spellEnd"/>
      <w:r w:rsidRPr="00437C2D">
        <w:t>). Plays a role in the metabolism of androgens, particularly in oxidative deactivation of testosterone (</w:t>
      </w:r>
      <w:proofErr w:type="spellStart"/>
      <w:r w:rsidRPr="00437C2D">
        <w:t>PubMed:2732228</w:t>
      </w:r>
      <w:proofErr w:type="spellEnd"/>
      <w:r w:rsidRPr="00437C2D">
        <w:t xml:space="preserve">, </w:t>
      </w:r>
      <w:proofErr w:type="spellStart"/>
      <w:r w:rsidRPr="00437C2D">
        <w:t>PubMed:15373842</w:t>
      </w:r>
      <w:proofErr w:type="spellEnd"/>
      <w:r w:rsidRPr="00437C2D">
        <w:t xml:space="preserve">, </w:t>
      </w:r>
      <w:proofErr w:type="spellStart"/>
      <w:r w:rsidRPr="00437C2D">
        <w:t>PubMed:15764715</w:t>
      </w:r>
      <w:proofErr w:type="spellEnd"/>
      <w:r w:rsidRPr="00437C2D">
        <w:t xml:space="preserve">, </w:t>
      </w:r>
      <w:proofErr w:type="spellStart"/>
      <w:r w:rsidRPr="00437C2D">
        <w:t>PubMed:22773874</w:t>
      </w:r>
      <w:proofErr w:type="spellEnd"/>
      <w:r w:rsidRPr="00437C2D">
        <w:t xml:space="preserve">). Metabolizes testosterone to less biologically active </w:t>
      </w:r>
      <w:proofErr w:type="spellStart"/>
      <w:r w:rsidRPr="00437C2D">
        <w:t>2beta</w:t>
      </w:r>
      <w:proofErr w:type="spellEnd"/>
      <w:r w:rsidRPr="00437C2D">
        <w:t xml:space="preserve">- and </w:t>
      </w:r>
      <w:proofErr w:type="spellStart"/>
      <w:r w:rsidRPr="00437C2D">
        <w:t>6beta-hydroxytestosterones</w:t>
      </w:r>
      <w:proofErr w:type="spellEnd"/>
      <w:r w:rsidRPr="00437C2D">
        <w:t xml:space="preserve"> (</w:t>
      </w:r>
      <w:proofErr w:type="spellStart"/>
      <w:r w:rsidRPr="00437C2D">
        <w:t>PubMed:2732228</w:t>
      </w:r>
      <w:proofErr w:type="spellEnd"/>
      <w:r w:rsidRPr="00437C2D">
        <w:t xml:space="preserve">, </w:t>
      </w:r>
      <w:proofErr w:type="spellStart"/>
      <w:r w:rsidRPr="00437C2D">
        <w:t>PubMed:15373842</w:t>
      </w:r>
      <w:proofErr w:type="spellEnd"/>
      <w:r w:rsidRPr="00437C2D">
        <w:t xml:space="preserve">, </w:t>
      </w:r>
      <w:proofErr w:type="spellStart"/>
      <w:r w:rsidRPr="00437C2D">
        <w:t>PubMed:15764715</w:t>
      </w:r>
      <w:proofErr w:type="spellEnd"/>
      <w:r w:rsidRPr="00437C2D">
        <w:t>). Contributes to the formation of hydroxycholesterols (oxysterols), particularly A-ring hydroxylated cholesterol at the C-</w:t>
      </w:r>
      <w:proofErr w:type="spellStart"/>
      <w:r w:rsidRPr="00437C2D">
        <w:t>4beta</w:t>
      </w:r>
      <w:proofErr w:type="spellEnd"/>
      <w:r w:rsidRPr="00437C2D">
        <w:t xml:space="preserve"> position, and side chain </w:t>
      </w:r>
      <w:r w:rsidRPr="00437C2D">
        <w:lastRenderedPageBreak/>
        <w:t>hydroxylated cholesterol at the C-25 position, likely contributing to cholesterol degradation and bile acid biosynthesis (</w:t>
      </w:r>
      <w:proofErr w:type="spellStart"/>
      <w:r w:rsidRPr="00437C2D">
        <w:t>PubMed:21576599</w:t>
      </w:r>
      <w:proofErr w:type="spellEnd"/>
      <w:r w:rsidRPr="00437C2D">
        <w:t xml:space="preserve">). Catalyzes </w:t>
      </w:r>
      <w:proofErr w:type="spellStart"/>
      <w:r w:rsidRPr="00437C2D">
        <w:t>bisallylic</w:t>
      </w:r>
      <w:proofErr w:type="spellEnd"/>
      <w:r w:rsidRPr="00437C2D">
        <w:t xml:space="preserve"> hydroxylation of polyunsaturated fatty acids (PUFA) (</w:t>
      </w:r>
      <w:proofErr w:type="spellStart"/>
      <w:r w:rsidRPr="00437C2D">
        <w:t>PubMed:9435160</w:t>
      </w:r>
      <w:proofErr w:type="spellEnd"/>
      <w:r w:rsidRPr="00437C2D">
        <w:t>). Catalyzes the epoxidation of double bonds of PUFA with a preference for the last double bond (</w:t>
      </w:r>
      <w:proofErr w:type="spellStart"/>
      <w:r w:rsidRPr="00437C2D">
        <w:t>PubMed:19965576</w:t>
      </w:r>
      <w:proofErr w:type="spellEnd"/>
      <w:r w:rsidRPr="00437C2D">
        <w:t>). Metabolizes endocannabinoid arachidonoylethanolamide (anandamide) to 8,9-, 11,12-, and 14,15-</w:t>
      </w:r>
      <w:proofErr w:type="spellStart"/>
      <w:r w:rsidRPr="00437C2D">
        <w:t>epoxyeicosatrienoic</w:t>
      </w:r>
      <w:proofErr w:type="spellEnd"/>
      <w:r w:rsidRPr="00437C2D">
        <w:t xml:space="preserve"> acid </w:t>
      </w:r>
      <w:proofErr w:type="spellStart"/>
      <w:r w:rsidRPr="00437C2D">
        <w:t>ethanolamides</w:t>
      </w:r>
      <w:proofErr w:type="spellEnd"/>
      <w:r w:rsidRPr="00437C2D">
        <w:t xml:space="preserve"> (</w:t>
      </w:r>
      <w:proofErr w:type="spellStart"/>
      <w:r w:rsidRPr="00437C2D">
        <w:t>EpETrE</w:t>
      </w:r>
      <w:proofErr w:type="spellEnd"/>
      <w:r w:rsidRPr="00437C2D">
        <w:t>-EAs), potentially modulating endocannabinoid system signaling (</w:t>
      </w:r>
      <w:proofErr w:type="spellStart"/>
      <w:r w:rsidRPr="00437C2D">
        <w:t>PubMed:20702771</w:t>
      </w:r>
      <w:proofErr w:type="spellEnd"/>
      <w:r w:rsidRPr="00437C2D">
        <w:t>). Plays a role in the metabolism of retinoids. Displays high catalytic activity for oxidation of all-trans-retinol to all-trans-retinal, a rate-limiting step for the biosynthesis of all-trans-retinoic acid (</w:t>
      </w:r>
      <w:proofErr w:type="spellStart"/>
      <w:r w:rsidRPr="00437C2D">
        <w:t>atRA</w:t>
      </w:r>
      <w:proofErr w:type="spellEnd"/>
      <w:r w:rsidRPr="00437C2D">
        <w:t>) (</w:t>
      </w:r>
      <w:proofErr w:type="spellStart"/>
      <w:r w:rsidRPr="00437C2D">
        <w:t>PubMed:10681376</w:t>
      </w:r>
      <w:proofErr w:type="spellEnd"/>
      <w:r w:rsidRPr="00437C2D">
        <w:t xml:space="preserve">). Further metabolizes </w:t>
      </w:r>
      <w:proofErr w:type="spellStart"/>
      <w:r w:rsidRPr="00437C2D">
        <w:t>atRA</w:t>
      </w:r>
      <w:proofErr w:type="spellEnd"/>
      <w:r w:rsidRPr="00437C2D">
        <w:t xml:space="preserve"> toward 4-</w:t>
      </w:r>
      <w:proofErr w:type="spellStart"/>
      <w:r w:rsidRPr="00437C2D">
        <w:t>hydroxyretinoate</w:t>
      </w:r>
      <w:proofErr w:type="spellEnd"/>
      <w:r w:rsidRPr="00437C2D">
        <w:t xml:space="preserve"> and may play a role in hepatic </w:t>
      </w:r>
      <w:proofErr w:type="spellStart"/>
      <w:r w:rsidRPr="00437C2D">
        <w:t>atRA</w:t>
      </w:r>
      <w:proofErr w:type="spellEnd"/>
      <w:r w:rsidRPr="00437C2D">
        <w:t xml:space="preserve"> clearance (</w:t>
      </w:r>
      <w:proofErr w:type="spellStart"/>
      <w:r w:rsidRPr="00437C2D">
        <w:t>PubMed:11093772</w:t>
      </w:r>
      <w:proofErr w:type="spellEnd"/>
      <w:r w:rsidRPr="00437C2D">
        <w:t>). Responsible for oxidative metabolism of xenobiotics. Acts as a 2-</w:t>
      </w:r>
      <w:proofErr w:type="spellStart"/>
      <w:r w:rsidRPr="00437C2D">
        <w:t>exo</w:t>
      </w:r>
      <w:proofErr w:type="spellEnd"/>
      <w:r w:rsidRPr="00437C2D">
        <w:t>-monooxygenase for plant lipid 1,8-cineole (eucalyptol) (</w:t>
      </w:r>
      <w:proofErr w:type="spellStart"/>
      <w:r w:rsidRPr="00437C2D">
        <w:t>PubMed:11159812</w:t>
      </w:r>
      <w:proofErr w:type="spellEnd"/>
      <w:r w:rsidRPr="00437C2D">
        <w:t xml:space="preserve">). Metabolizes </w:t>
      </w:r>
      <w:proofErr w:type="gramStart"/>
      <w:r w:rsidRPr="00437C2D">
        <w:t>the majority of</w:t>
      </w:r>
      <w:proofErr w:type="gramEnd"/>
      <w:r w:rsidRPr="00437C2D">
        <w:t xml:space="preserve"> the administered drugs. Catalyzes </w:t>
      </w:r>
      <w:proofErr w:type="spellStart"/>
      <w:r w:rsidRPr="00437C2D">
        <w:t>sulfoxidation</w:t>
      </w:r>
      <w:proofErr w:type="spellEnd"/>
      <w:r w:rsidRPr="00437C2D">
        <w:t xml:space="preserve"> of the anthelmintics albendazole and fenbendazole (</w:t>
      </w:r>
      <w:proofErr w:type="spellStart"/>
      <w:r w:rsidRPr="00437C2D">
        <w:t>PubMed:10759686</w:t>
      </w:r>
      <w:proofErr w:type="spellEnd"/>
      <w:r w:rsidRPr="00437C2D">
        <w:t>). Hydroxylates antimalarial drug quinine (</w:t>
      </w:r>
      <w:proofErr w:type="spellStart"/>
      <w:r w:rsidRPr="00437C2D">
        <w:t>PubMed:8968357</w:t>
      </w:r>
      <w:proofErr w:type="spellEnd"/>
      <w:r w:rsidRPr="00437C2D">
        <w:t>). Acts as a 1,4-cineole 2-</w:t>
      </w:r>
      <w:proofErr w:type="spellStart"/>
      <w:r w:rsidRPr="00437C2D">
        <w:t>exo</w:t>
      </w:r>
      <w:proofErr w:type="spellEnd"/>
      <w:r w:rsidRPr="00437C2D">
        <w:t>-monooxygenase (</w:t>
      </w:r>
      <w:proofErr w:type="spellStart"/>
      <w:r w:rsidRPr="00437C2D">
        <w:t>PubMed:11695850</w:t>
      </w:r>
      <w:proofErr w:type="spellEnd"/>
      <w:r w:rsidRPr="00437C2D">
        <w:t>). {</w:t>
      </w:r>
      <w:proofErr w:type="spellStart"/>
      <w:r w:rsidRPr="00437C2D">
        <w:t>ECO:0000269|PubMed:10681376</w:t>
      </w:r>
      <w:proofErr w:type="spellEnd"/>
      <w:r w:rsidRPr="00437C2D">
        <w:t xml:space="preserve">, </w:t>
      </w:r>
      <w:proofErr w:type="spellStart"/>
      <w:r w:rsidRPr="00437C2D">
        <w:t>ECO:0000269|PubMed:10759686</w:t>
      </w:r>
      <w:proofErr w:type="spellEnd"/>
      <w:r w:rsidRPr="00437C2D">
        <w:t xml:space="preserve">, </w:t>
      </w:r>
      <w:proofErr w:type="spellStart"/>
      <w:r w:rsidRPr="00437C2D">
        <w:t>ECO:0000269|PubMed:11093772</w:t>
      </w:r>
      <w:proofErr w:type="spellEnd"/>
      <w:r w:rsidRPr="00437C2D">
        <w:t xml:space="preserve">, </w:t>
      </w:r>
      <w:proofErr w:type="spellStart"/>
      <w:r w:rsidRPr="00437C2D">
        <w:t>ECO:0000269|PubMed:11159812</w:t>
      </w:r>
      <w:proofErr w:type="spellEnd"/>
      <w:r w:rsidRPr="00437C2D">
        <w:t xml:space="preserve">, </w:t>
      </w:r>
      <w:proofErr w:type="spellStart"/>
      <w:r w:rsidRPr="00437C2D">
        <w:t>ECO:0000269|PubMed:11555828</w:t>
      </w:r>
      <w:proofErr w:type="spellEnd"/>
      <w:r w:rsidRPr="00437C2D">
        <w:t xml:space="preserve">, </w:t>
      </w:r>
      <w:proofErr w:type="spellStart"/>
      <w:r w:rsidRPr="00437C2D">
        <w:t>ECO:0000269|PubMed:11695850</w:t>
      </w:r>
      <w:proofErr w:type="spellEnd"/>
      <w:r w:rsidRPr="00437C2D">
        <w:t xml:space="preserve">, </w:t>
      </w:r>
      <w:proofErr w:type="spellStart"/>
      <w:r w:rsidRPr="00437C2D">
        <w:t>ECO:0000269|PubMed:12865317</w:t>
      </w:r>
      <w:proofErr w:type="spellEnd"/>
      <w:r w:rsidRPr="00437C2D">
        <w:t xml:space="preserve">, </w:t>
      </w:r>
      <w:proofErr w:type="spellStart"/>
      <w:r w:rsidRPr="00437C2D">
        <w:t>ECO:0000269|PubMed:14559847</w:t>
      </w:r>
      <w:proofErr w:type="spellEnd"/>
      <w:r w:rsidRPr="00437C2D">
        <w:t xml:space="preserve">, </w:t>
      </w:r>
      <w:proofErr w:type="spellStart"/>
      <w:r w:rsidRPr="00437C2D">
        <w:t>ECO:0000269|PubMed:15373842</w:t>
      </w:r>
      <w:proofErr w:type="spellEnd"/>
      <w:r w:rsidRPr="00437C2D">
        <w:t xml:space="preserve">, </w:t>
      </w:r>
      <w:proofErr w:type="spellStart"/>
      <w:r w:rsidRPr="00437C2D">
        <w:t>ECO:0000269|PubMed:15764715</w:t>
      </w:r>
      <w:proofErr w:type="spellEnd"/>
      <w:r w:rsidRPr="00437C2D">
        <w:t xml:space="preserve">, </w:t>
      </w:r>
      <w:proofErr w:type="spellStart"/>
      <w:r w:rsidRPr="00437C2D">
        <w:t>ECO:0000269|PubMed:19965576</w:t>
      </w:r>
      <w:proofErr w:type="spellEnd"/>
      <w:r w:rsidRPr="00437C2D">
        <w:t xml:space="preserve">, </w:t>
      </w:r>
      <w:proofErr w:type="spellStart"/>
      <w:r w:rsidRPr="00437C2D">
        <w:t>ECO:0000269|PubMed:20702771</w:t>
      </w:r>
      <w:proofErr w:type="spellEnd"/>
      <w:r w:rsidRPr="00437C2D">
        <w:t xml:space="preserve">, </w:t>
      </w:r>
      <w:proofErr w:type="spellStart"/>
      <w:r w:rsidRPr="00437C2D">
        <w:t>ECO:0000269|PubMed:21490593</w:t>
      </w:r>
      <w:proofErr w:type="spellEnd"/>
      <w:r w:rsidRPr="00437C2D">
        <w:t xml:space="preserve">, </w:t>
      </w:r>
      <w:proofErr w:type="spellStart"/>
      <w:r w:rsidRPr="00437C2D">
        <w:t>ECO:0000269|PubMed:21576599</w:t>
      </w:r>
      <w:proofErr w:type="spellEnd"/>
      <w:r w:rsidRPr="00437C2D">
        <w:t xml:space="preserve">, </w:t>
      </w:r>
      <w:proofErr w:type="spellStart"/>
      <w:r w:rsidRPr="00437C2D">
        <w:t>ECO:0000269|PubMed:22773874</w:t>
      </w:r>
      <w:proofErr w:type="spellEnd"/>
      <w:r w:rsidRPr="00437C2D">
        <w:t xml:space="preserve">, </w:t>
      </w:r>
      <w:proofErr w:type="spellStart"/>
      <w:r w:rsidRPr="00437C2D">
        <w:t>ECO:0000269|PubMed:2732228</w:t>
      </w:r>
      <w:proofErr w:type="spellEnd"/>
      <w:r w:rsidRPr="00437C2D">
        <w:t xml:space="preserve">, </w:t>
      </w:r>
      <w:proofErr w:type="spellStart"/>
      <w:r w:rsidRPr="00437C2D">
        <w:t>ECO:0000269|PubMed:8968357</w:t>
      </w:r>
      <w:proofErr w:type="spellEnd"/>
      <w:r w:rsidRPr="00437C2D">
        <w:t xml:space="preserve">, </w:t>
      </w:r>
      <w:proofErr w:type="spellStart"/>
      <w:r w:rsidRPr="00437C2D">
        <w:t>ECO:0000269|PubMed:9435160</w:t>
      </w:r>
      <w:proofErr w:type="spellEnd"/>
      <w:r w:rsidRPr="00437C2D">
        <w:t>}.</w:t>
      </w:r>
    </w:p>
    <w:bookmarkEnd w:id="0"/>
    <w:p w14:paraId="6602CE3E" w14:textId="77777777" w:rsidR="000D2B75" w:rsidRDefault="000D2B75" w:rsidP="000D2B75">
      <w:pPr>
        <w:pStyle w:val="bmdsTblFootnote"/>
      </w:pPr>
      <w:proofErr w:type="spellStart"/>
      <w:r>
        <w:rPr>
          <w:b/>
        </w:rPr>
        <w:t>Cryl1</w:t>
      </w:r>
      <w:proofErr w:type="spellEnd"/>
      <w:r>
        <w:rPr>
          <w:b/>
        </w:rPr>
        <w:t>:</w:t>
      </w:r>
      <w:r>
        <w:rPr>
          <w:i/>
        </w:rPr>
        <w:t xml:space="preserve"> Human Entrez Gene Summary (Human CRYL1):</w:t>
      </w:r>
      <w:r>
        <w:t xml:space="preserve"> The </w:t>
      </w:r>
      <w:proofErr w:type="spellStart"/>
      <w:r>
        <w:t>uronate</w:t>
      </w:r>
      <w:proofErr w:type="spellEnd"/>
      <w:r>
        <w:t xml:space="preserve"> cycle functions as an alternative glucose metabolic pathway, accounting for about 5% of daily glucose catabolism. The product of this gene catalyzes the dehydrogenation of L-</w:t>
      </w:r>
      <w:proofErr w:type="spellStart"/>
      <w:r>
        <w:t>gulonate</w:t>
      </w:r>
      <w:proofErr w:type="spellEnd"/>
      <w:r>
        <w:t xml:space="preserve"> into dehydro-L-</w:t>
      </w:r>
      <w:proofErr w:type="spellStart"/>
      <w:r>
        <w:t>gulonate</w:t>
      </w:r>
      <w:proofErr w:type="spellEnd"/>
      <w:r>
        <w:t xml:space="preserve"> in the </w:t>
      </w:r>
      <w:proofErr w:type="spellStart"/>
      <w:r>
        <w:t>uronate</w:t>
      </w:r>
      <w:proofErr w:type="spellEnd"/>
      <w:r>
        <w:t xml:space="preserve"> cycle. The enzyme requires NAD(H) as a </w:t>
      </w:r>
      <w:proofErr w:type="gramStart"/>
      <w:r>
        <w:t>coenzyme, and</w:t>
      </w:r>
      <w:proofErr w:type="gramEnd"/>
      <w:r>
        <w:t xml:space="preserve"> is inhibited by inorganic phosphate. A similar gene in the rabbit is thought to serve a structural role in the lens of the eye. [provided by </w:t>
      </w:r>
      <w:proofErr w:type="spellStart"/>
      <w:r>
        <w:t>RefSeq</w:t>
      </w:r>
      <w:proofErr w:type="spellEnd"/>
      <w:r>
        <w:t>, Jul 2008]</w:t>
      </w:r>
    </w:p>
    <w:p w14:paraId="14AF1A82" w14:textId="77777777" w:rsidR="000D2B75" w:rsidRDefault="000D2B75" w:rsidP="000D2B75">
      <w:pPr>
        <w:pStyle w:val="bmdsTblFootnote"/>
      </w:pPr>
      <w:proofErr w:type="spellStart"/>
      <w:r>
        <w:rPr>
          <w:b/>
        </w:rPr>
        <w:t>Abcc3</w:t>
      </w:r>
      <w:proofErr w:type="spellEnd"/>
      <w:r>
        <w:rPr>
          <w:b/>
        </w:rPr>
        <w:t>:</w:t>
      </w:r>
      <w:r>
        <w:rPr>
          <w:i/>
        </w:rPr>
        <w:t xml:space="preserve"> Human </w:t>
      </w:r>
      <w:proofErr w:type="spellStart"/>
      <w:r>
        <w:rPr>
          <w:i/>
        </w:rPr>
        <w:t>Uniprot</w:t>
      </w:r>
      <w:proofErr w:type="spellEnd"/>
      <w:r>
        <w:rPr>
          <w:i/>
        </w:rPr>
        <w:t xml:space="preserve"> function (Human ABCC3):</w:t>
      </w:r>
      <w:r>
        <w:t xml:space="preserve"> May act as an inducible transporter in the biliary and intestinal excretion of organic anions. Acts as an alternative route for the export of bile acids and glucuronides from cholestatic hepatocytes (By similarity). {ECO0000250}.</w:t>
      </w:r>
    </w:p>
    <w:p w14:paraId="1C98BBFB" w14:textId="77777777" w:rsidR="000D2B75" w:rsidRDefault="000D2B75" w:rsidP="000D2B75">
      <w:pPr>
        <w:pStyle w:val="bmdsTblFootnote"/>
      </w:pPr>
      <w:proofErr w:type="spellStart"/>
      <w:r>
        <w:rPr>
          <w:b/>
        </w:rPr>
        <w:t>Akr7a3</w:t>
      </w:r>
      <w:proofErr w:type="spellEnd"/>
      <w:r>
        <w:rPr>
          <w:b/>
        </w:rPr>
        <w:t>:</w:t>
      </w:r>
      <w:r>
        <w:rPr>
          <w:i/>
        </w:rPr>
        <w:t xml:space="preserve"> Human </w:t>
      </w:r>
      <w:proofErr w:type="spellStart"/>
      <w:r>
        <w:rPr>
          <w:i/>
        </w:rPr>
        <w:t>Uniprot</w:t>
      </w:r>
      <w:proofErr w:type="spellEnd"/>
      <w:r>
        <w:rPr>
          <w:i/>
        </w:rPr>
        <w:t xml:space="preserve"> function (Human AKR7A3):</w:t>
      </w:r>
      <w:r>
        <w:t xml:space="preserve"> Can reduce the dialdehyde protein-binding form of aflatoxin </w:t>
      </w:r>
      <w:proofErr w:type="spellStart"/>
      <w:r>
        <w:t>B1</w:t>
      </w:r>
      <w:proofErr w:type="spellEnd"/>
      <w:r>
        <w:t xml:space="preserve"> (AFB1) to the non-binding AFB1 </w:t>
      </w:r>
      <w:proofErr w:type="spellStart"/>
      <w:r>
        <w:t>dialcohol</w:t>
      </w:r>
      <w:proofErr w:type="spellEnd"/>
      <w:r>
        <w:t>. May be involved in protection of liver against the toxic and carcinogenic effects of AFB1, a potent hepatocarcinogen. {</w:t>
      </w:r>
      <w:proofErr w:type="spellStart"/>
      <w:r>
        <w:t>ECO0000269|PubMed18416522</w:t>
      </w:r>
      <w:proofErr w:type="spellEnd"/>
      <w:r>
        <w:t>}.</w:t>
      </w:r>
    </w:p>
    <w:p w14:paraId="2A703BFD" w14:textId="77777777" w:rsidR="000D2B75" w:rsidRDefault="000D2B75" w:rsidP="000D2B75">
      <w:pPr>
        <w:pStyle w:val="bmdsTblFootnote"/>
      </w:pPr>
      <w:proofErr w:type="spellStart"/>
      <w:r>
        <w:rPr>
          <w:b/>
        </w:rPr>
        <w:t>Slc6a6</w:t>
      </w:r>
      <w:proofErr w:type="spellEnd"/>
      <w:r>
        <w:rPr>
          <w:b/>
        </w:rPr>
        <w:t>:</w:t>
      </w:r>
      <w:r>
        <w:rPr>
          <w:i/>
        </w:rPr>
        <w:t xml:space="preserve"> Human </w:t>
      </w:r>
      <w:proofErr w:type="spellStart"/>
      <w:r>
        <w:rPr>
          <w:i/>
        </w:rPr>
        <w:t>Uniprot</w:t>
      </w:r>
      <w:proofErr w:type="spellEnd"/>
      <w:r>
        <w:rPr>
          <w:i/>
        </w:rPr>
        <w:t xml:space="preserve"> function (Human SLC6A6):</w:t>
      </w:r>
      <w:r>
        <w:t xml:space="preserve"> Sodium-dependent taurine and beta-alanine transporter. Chloride ions are necessary for optimal uptake. {</w:t>
      </w:r>
      <w:proofErr w:type="spellStart"/>
      <w:r>
        <w:t>ECO0000269|PubMed31345061</w:t>
      </w:r>
      <w:proofErr w:type="spellEnd"/>
      <w:r>
        <w:t xml:space="preserve">, </w:t>
      </w:r>
      <w:proofErr w:type="spellStart"/>
      <w:r>
        <w:t>ECO0000269|PubMed31903486</w:t>
      </w:r>
      <w:proofErr w:type="spellEnd"/>
      <w:r>
        <w:t xml:space="preserve">, </w:t>
      </w:r>
      <w:proofErr w:type="spellStart"/>
      <w:r>
        <w:t>ECO0000269|PubMed8382624</w:t>
      </w:r>
      <w:proofErr w:type="spellEnd"/>
      <w:r>
        <w:t>}.</w:t>
      </w:r>
    </w:p>
    <w:p w14:paraId="4CCF34B2" w14:textId="05429097" w:rsidR="008C530B" w:rsidRDefault="008C530B" w:rsidP="000D2B75">
      <w:pPr>
        <w:pStyle w:val="bmdsTblFootnote"/>
      </w:pPr>
    </w:p>
    <w:sectPr w:rsidR="008C530B" w:rsidSect="000D0E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697D1" w14:textId="77777777" w:rsidR="009F3DA2" w:rsidRDefault="009F3DA2" w:rsidP="00B516BA">
      <w:r>
        <w:separator/>
      </w:r>
    </w:p>
  </w:endnote>
  <w:endnote w:type="continuationSeparator" w:id="0">
    <w:p w14:paraId="102C132F" w14:textId="77777777" w:rsidR="009F3DA2" w:rsidRDefault="009F3DA2" w:rsidP="00B5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2A8E" w14:textId="77777777" w:rsidR="00B516BA" w:rsidRDefault="00B5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74863"/>
      <w:docPartObj>
        <w:docPartGallery w:val="Page Numbers (Bottom of Page)"/>
        <w:docPartUnique/>
      </w:docPartObj>
    </w:sdtPr>
    <w:sdtEndPr>
      <w:rPr>
        <w:noProof/>
      </w:rPr>
    </w:sdtEndPr>
    <w:sdtContent>
      <w:p w14:paraId="7F049BBC" w14:textId="77777777" w:rsidR="00B516BA" w:rsidRDefault="00B516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78743" w14:textId="77777777" w:rsidR="00B516BA" w:rsidRDefault="00B51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2104" w14:textId="77777777" w:rsidR="00B516BA" w:rsidRDefault="00B5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56F60" w14:textId="77777777" w:rsidR="009F3DA2" w:rsidRDefault="009F3DA2" w:rsidP="00B516BA">
      <w:r>
        <w:separator/>
      </w:r>
    </w:p>
  </w:footnote>
  <w:footnote w:type="continuationSeparator" w:id="0">
    <w:p w14:paraId="71F64C0D" w14:textId="77777777" w:rsidR="009F3DA2" w:rsidRDefault="009F3DA2" w:rsidP="00B5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4D98" w14:textId="77777777" w:rsidR="00B516BA" w:rsidRDefault="00B5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2025" w14:textId="77777777" w:rsidR="00B516BA" w:rsidRDefault="00B51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F549" w14:textId="77777777" w:rsidR="00B516BA" w:rsidRDefault="00B5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189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AA0B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35899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1D0DD3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DC430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D22E71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36A5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1181C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C2608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D7CB0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00B06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6F"/>
    <w:rsid w:val="000B06CA"/>
    <w:rsid w:val="000D0EE1"/>
    <w:rsid w:val="000D2B75"/>
    <w:rsid w:val="00135BD3"/>
    <w:rsid w:val="003100A9"/>
    <w:rsid w:val="00450E6F"/>
    <w:rsid w:val="004F2CD1"/>
    <w:rsid w:val="00501635"/>
    <w:rsid w:val="00607BE5"/>
    <w:rsid w:val="006E0BF6"/>
    <w:rsid w:val="008B104C"/>
    <w:rsid w:val="008C530B"/>
    <w:rsid w:val="009538E5"/>
    <w:rsid w:val="0095691D"/>
    <w:rsid w:val="009A6B74"/>
    <w:rsid w:val="009E388A"/>
    <w:rsid w:val="009F3DA2"/>
    <w:rsid w:val="00A262F0"/>
    <w:rsid w:val="00AD1F43"/>
    <w:rsid w:val="00B516BA"/>
    <w:rsid w:val="00B80167"/>
    <w:rsid w:val="00BA5CAD"/>
    <w:rsid w:val="00D255DB"/>
    <w:rsid w:val="00D916EC"/>
    <w:rsid w:val="00EA35D3"/>
    <w:rsid w:val="00EE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1E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91D"/>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95691D"/>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95691D"/>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mdsTbl">
    <w:name w:val="bmdsTbl"/>
    <w:basedOn w:val="TableNormal"/>
    <w:uiPriority w:val="99"/>
    <w:rsid w:val="009538E5"/>
    <w:rPr>
      <w:rFonts w:ascii="Times New Roman" w:eastAsia="Droid Sans Fallback" w:hAnsi="Times New Roman" w:cs="Times New Roman"/>
      <w:sz w:val="18"/>
      <w:szCs w:val="18"/>
      <w:lang w:eastAsia="ja-JP"/>
    </w:rPr>
    <w:tblPr>
      <w:tblStyleRowBandSize w:val="1"/>
      <w:tblStyleColBandSize w:val="1"/>
      <w:tblBorders>
        <w:top w:val="single" w:sz="4" w:space="0" w:color="D0CECE" w:themeColor="background2" w:themeShade="E6"/>
        <w:bottom w:val="single" w:sz="4" w:space="0" w:color="D0CECE" w:themeColor="background2" w:themeShade="E6"/>
        <w:insideH w:val="single" w:sz="4" w:space="0" w:color="D0CECE" w:themeColor="background2" w:themeShade="E6"/>
      </w:tblBorders>
      <w:tblCellMar>
        <w:left w:w="58" w:type="dxa"/>
        <w:right w:w="58" w:type="dxa"/>
      </w:tblCellMar>
    </w:tblPr>
    <w:trPr>
      <w:cantSplit/>
    </w:trPr>
    <w:tcPr>
      <w:shd w:val="clear" w:color="auto" w:fill="auto"/>
    </w:tcPr>
    <w:tblStylePr w:type="firstRow">
      <w:pPr>
        <w:jc w:val="left"/>
      </w:pPr>
      <w:rPr>
        <w:b w:val="0"/>
        <w:bCs/>
        <w:i w:val="0"/>
        <w:iCs w:val="0"/>
        <w:sz w:val="18"/>
      </w:rPr>
      <w:tblPr/>
      <w:tcPr>
        <w:tcBorders>
          <w:top w:val="single" w:sz="4" w:space="0" w:color="auto"/>
          <w:left w:val="nil"/>
          <w:bottom w:val="single" w:sz="4" w:space="0" w:color="auto"/>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9"/>
    <w:rsid w:val="0095691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semiHidden/>
    <w:rsid w:val="0095691D"/>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semiHidden/>
    <w:rsid w:val="0095691D"/>
    <w:rPr>
      <w:rFonts w:eastAsiaTheme="majorEastAsia" w:cstheme="majorBidi"/>
      <w:b/>
      <w:color w:val="000000" w:themeColor="text1"/>
    </w:rPr>
  </w:style>
  <w:style w:type="paragraph" w:customStyle="1" w:styleId="bmdsOutputFile">
    <w:name w:val="bmdsOutputFile"/>
    <w:basedOn w:val="Normal"/>
    <w:qFormat/>
    <w:rsid w:val="009E388A"/>
    <w:rPr>
      <w:rFonts w:ascii="Consolas" w:hAnsi="Consolas"/>
      <w:sz w:val="16"/>
    </w:rPr>
  </w:style>
  <w:style w:type="table" w:styleId="TableGrid">
    <w:name w:val="Table Grid"/>
    <w:basedOn w:val="TableNormal"/>
    <w:uiPriority w:val="39"/>
    <w:rsid w:val="00B8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dsTblHeader">
    <w:name w:val="bmdsTblHeader"/>
    <w:basedOn w:val="bmdsTblBody"/>
    <w:qFormat/>
    <w:rsid w:val="00D255DB"/>
    <w:rPr>
      <w:b/>
    </w:rPr>
  </w:style>
  <w:style w:type="paragraph" w:customStyle="1" w:styleId="bmdsTblBody">
    <w:name w:val="bmdsTblBody"/>
    <w:basedOn w:val="Normal"/>
    <w:qFormat/>
    <w:rsid w:val="00D255DB"/>
    <w:rPr>
      <w:rFonts w:ascii="Times New Roman" w:hAnsi="Times New Roman"/>
      <w:sz w:val="18"/>
    </w:rPr>
  </w:style>
  <w:style w:type="paragraph" w:customStyle="1" w:styleId="bmdsTblFootnote">
    <w:name w:val="bmdsTblFootnote"/>
    <w:basedOn w:val="bmdsTblBody"/>
    <w:qFormat/>
    <w:rsid w:val="00AD1F43"/>
  </w:style>
  <w:style w:type="paragraph" w:styleId="Header">
    <w:name w:val="header"/>
    <w:basedOn w:val="Normal"/>
    <w:link w:val="HeaderChar"/>
    <w:uiPriority w:val="99"/>
    <w:unhideWhenUsed/>
    <w:rsid w:val="00B516BA"/>
    <w:pPr>
      <w:tabs>
        <w:tab w:val="center" w:pos="4680"/>
        <w:tab w:val="right" w:pos="9360"/>
      </w:tabs>
    </w:pPr>
  </w:style>
  <w:style w:type="character" w:customStyle="1" w:styleId="HeaderChar">
    <w:name w:val="Header Char"/>
    <w:basedOn w:val="DefaultParagraphFont"/>
    <w:link w:val="Header"/>
    <w:uiPriority w:val="99"/>
    <w:rsid w:val="00B516BA"/>
  </w:style>
  <w:style w:type="paragraph" w:styleId="Footer">
    <w:name w:val="footer"/>
    <w:basedOn w:val="Normal"/>
    <w:link w:val="FooterChar"/>
    <w:uiPriority w:val="99"/>
    <w:unhideWhenUsed/>
    <w:rsid w:val="00B516BA"/>
    <w:pPr>
      <w:tabs>
        <w:tab w:val="center" w:pos="4680"/>
        <w:tab w:val="right" w:pos="9360"/>
      </w:tabs>
    </w:pPr>
  </w:style>
  <w:style w:type="character" w:customStyle="1" w:styleId="FooterChar">
    <w:name w:val="Footer Char"/>
    <w:basedOn w:val="DefaultParagraphFont"/>
    <w:link w:val="Footer"/>
    <w:uiPriority w:val="99"/>
    <w:rsid w:val="00B5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Andy (NIH/NIEHS) [E]</dc:creator>
  <cp:keywords/>
  <dc:description/>
  <cp:lastModifiedBy>He, Shihan (NIH/NIEHS) [C]</cp:lastModifiedBy>
  <cp:revision>20</cp:revision>
  <dcterms:created xsi:type="dcterms:W3CDTF">2017-06-20T16:20:00Z</dcterms:created>
  <dcterms:modified xsi:type="dcterms:W3CDTF">2021-07-16T13:11:00Z</dcterms:modified>
</cp:coreProperties>
</file>