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F80D" w14:textId="6EFF54FE" w:rsidR="003950EE" w:rsidRPr="00982C45" w:rsidRDefault="003950EE" w:rsidP="00982C45">
      <w:pPr>
        <w:rPr>
          <w:sz w:val="22"/>
          <w:szCs w:val="22"/>
        </w:rPr>
      </w:pPr>
      <w:r>
        <w:rPr>
          <w:sz w:val="22"/>
          <w:szCs w:val="22"/>
        </w:rPr>
        <w:t xml:space="preserve">A </w:t>
      </w:r>
      <w:r>
        <w:rPr>
          <w:sz w:val="22"/>
          <w:szCs w:val="22"/>
        </w:rPr>
        <w:t>dose range-finding study</w:t>
      </w:r>
      <w:r>
        <w:rPr>
          <w:sz w:val="22"/>
          <w:szCs w:val="22"/>
        </w:rPr>
        <w:t xml:space="preserve"> (DRF)</w:t>
      </w:r>
      <w:r>
        <w:rPr>
          <w:sz w:val="22"/>
          <w:szCs w:val="22"/>
        </w:rPr>
        <w:t xml:space="preserve"> was conducted at RTI International under the NTP RACB program with dietary doses of 0, 625, 1250, 2500, 5000, and 10,000 ppm</w:t>
      </w:r>
      <w:r>
        <w:rPr>
          <w:sz w:val="22"/>
          <w:szCs w:val="22"/>
        </w:rPr>
        <w:t xml:space="preserve"> prior to the main RACB study. Since the animals were mated only once during the DRF,</w:t>
      </w:r>
      <w:r>
        <w:rPr>
          <w:sz w:val="22"/>
          <w:szCs w:val="22"/>
        </w:rPr>
        <w:t xml:space="preserve"> an extended (10 weeks) </w:t>
      </w:r>
      <w:proofErr w:type="spellStart"/>
      <w:r>
        <w:rPr>
          <w:sz w:val="22"/>
          <w:szCs w:val="22"/>
        </w:rPr>
        <w:t>prebreed</w:t>
      </w:r>
      <w:proofErr w:type="spellEnd"/>
      <w:r>
        <w:rPr>
          <w:sz w:val="22"/>
          <w:szCs w:val="22"/>
        </w:rPr>
        <w:t xml:space="preserve"> exposure </w:t>
      </w:r>
      <w:r>
        <w:rPr>
          <w:sz w:val="22"/>
          <w:szCs w:val="22"/>
        </w:rPr>
        <w:t xml:space="preserve">was used </w:t>
      </w:r>
      <w:r>
        <w:rPr>
          <w:sz w:val="22"/>
          <w:szCs w:val="22"/>
        </w:rPr>
        <w:t xml:space="preserve">for the parental F0 males. The 10-week </w:t>
      </w:r>
      <w:proofErr w:type="spellStart"/>
      <w:r>
        <w:rPr>
          <w:sz w:val="22"/>
          <w:szCs w:val="22"/>
        </w:rPr>
        <w:t>prebreed</w:t>
      </w:r>
      <w:proofErr w:type="spellEnd"/>
      <w:r>
        <w:rPr>
          <w:sz w:val="22"/>
          <w:szCs w:val="22"/>
        </w:rPr>
        <w:t xml:space="preserve"> exposure period was employed to encompass the </w:t>
      </w:r>
      <w:r w:rsidRPr="00982C45">
        <w:rPr>
          <w:sz w:val="22"/>
          <w:szCs w:val="22"/>
        </w:rPr>
        <w:t>complete spermatogenic cycle in the F0 males prior to breeding</w:t>
      </w:r>
      <w:r w:rsidRPr="00982C45">
        <w:rPr>
          <w:sz w:val="22"/>
          <w:szCs w:val="22"/>
        </w:rPr>
        <w:t>. The performance of the animals across doses in the DRF study can be found under “DRF Study Tables”. To track individual animal data, please see tables titled “DRF Individual Animal Data”</w:t>
      </w:r>
    </w:p>
    <w:p w14:paraId="519A85EF" w14:textId="77777777" w:rsidR="003950EE" w:rsidRPr="00982C45" w:rsidRDefault="003950EE" w:rsidP="00982C45">
      <w:pPr>
        <w:rPr>
          <w:sz w:val="22"/>
          <w:szCs w:val="22"/>
        </w:rPr>
      </w:pPr>
    </w:p>
    <w:p w14:paraId="51164615" w14:textId="6DF7B180" w:rsidR="003950EE" w:rsidRPr="00982C45" w:rsidRDefault="003950EE" w:rsidP="00982C45">
      <w:pPr>
        <w:rPr>
          <w:sz w:val="22"/>
          <w:szCs w:val="22"/>
        </w:rPr>
      </w:pPr>
      <w:r w:rsidRPr="00982C45">
        <w:rPr>
          <w:sz w:val="22"/>
          <w:szCs w:val="22"/>
        </w:rPr>
        <w:t xml:space="preserve">The main </w:t>
      </w:r>
      <w:r w:rsidRPr="00982C45">
        <w:rPr>
          <w:sz w:val="22"/>
          <w:szCs w:val="22"/>
        </w:rPr>
        <w:t xml:space="preserve">RACB </w:t>
      </w:r>
      <w:r w:rsidRPr="00982C45">
        <w:rPr>
          <w:sz w:val="22"/>
          <w:szCs w:val="22"/>
        </w:rPr>
        <w:t>study was</w:t>
      </w:r>
      <w:r w:rsidRPr="00982C45">
        <w:rPr>
          <w:sz w:val="22"/>
          <w:szCs w:val="22"/>
        </w:rPr>
        <w:t xml:space="preserve"> </w:t>
      </w:r>
      <w:r w:rsidRPr="00982C45">
        <w:rPr>
          <w:sz w:val="22"/>
          <w:szCs w:val="22"/>
        </w:rPr>
        <w:t xml:space="preserve">designed </w:t>
      </w:r>
      <w:r w:rsidRPr="00982C45">
        <w:rPr>
          <w:sz w:val="22"/>
          <w:szCs w:val="22"/>
        </w:rPr>
        <w:t xml:space="preserve">based on findings from the DRF, but with a 2-week </w:t>
      </w:r>
      <w:proofErr w:type="spellStart"/>
      <w:r w:rsidRPr="00982C45">
        <w:rPr>
          <w:sz w:val="22"/>
          <w:szCs w:val="22"/>
        </w:rPr>
        <w:t>prebreed</w:t>
      </w:r>
      <w:proofErr w:type="spellEnd"/>
      <w:r w:rsidRPr="00982C45">
        <w:rPr>
          <w:sz w:val="22"/>
          <w:szCs w:val="22"/>
        </w:rPr>
        <w:t xml:space="preserve"> exposure instead of 10 weeks. The rationale was that the RACB main study had </w:t>
      </w:r>
      <w:r w:rsidRPr="00982C45">
        <w:rPr>
          <w:sz w:val="22"/>
          <w:szCs w:val="22"/>
        </w:rPr>
        <w:t xml:space="preserve">three successive breeding periods </w:t>
      </w:r>
      <w:r w:rsidRPr="00982C45">
        <w:rPr>
          <w:sz w:val="22"/>
          <w:szCs w:val="22"/>
        </w:rPr>
        <w:t xml:space="preserve">over 10-weeks; hence each breeding represented </w:t>
      </w:r>
      <w:r w:rsidRPr="00982C45">
        <w:rPr>
          <w:sz w:val="22"/>
          <w:szCs w:val="22"/>
        </w:rPr>
        <w:t xml:space="preserve">reproductive function </w:t>
      </w:r>
      <w:r w:rsidRPr="00982C45">
        <w:rPr>
          <w:sz w:val="22"/>
          <w:szCs w:val="22"/>
        </w:rPr>
        <w:t>a specific phase of the spermatogenic cycle.</w:t>
      </w:r>
    </w:p>
    <w:p w14:paraId="6C011831" w14:textId="526169B8" w:rsidR="000D6C28" w:rsidRPr="00982C45" w:rsidRDefault="000D6C28" w:rsidP="00982C45">
      <w:pPr>
        <w:rPr>
          <w:sz w:val="22"/>
          <w:szCs w:val="22"/>
        </w:rPr>
      </w:pPr>
      <w:r w:rsidRPr="00982C45">
        <w:rPr>
          <w:sz w:val="22"/>
          <w:szCs w:val="22"/>
        </w:rPr>
        <w:t>The performance of the animals across doses in the</w:t>
      </w:r>
      <w:r w:rsidRPr="00982C45">
        <w:rPr>
          <w:sz w:val="22"/>
          <w:szCs w:val="22"/>
        </w:rPr>
        <w:t xml:space="preserve"> main RACB</w:t>
      </w:r>
      <w:r w:rsidRPr="00982C45">
        <w:rPr>
          <w:sz w:val="22"/>
          <w:szCs w:val="22"/>
        </w:rPr>
        <w:t xml:space="preserve"> study can be found under “</w:t>
      </w:r>
      <w:r w:rsidRPr="00982C45">
        <w:rPr>
          <w:sz w:val="22"/>
          <w:szCs w:val="22"/>
        </w:rPr>
        <w:t xml:space="preserve">RACB </w:t>
      </w:r>
      <w:r w:rsidRPr="00982C45">
        <w:rPr>
          <w:sz w:val="22"/>
          <w:szCs w:val="22"/>
        </w:rPr>
        <w:t>Study Tables”. To track individual animal data, please see tables titled “</w:t>
      </w:r>
      <w:r w:rsidRPr="00982C45">
        <w:rPr>
          <w:sz w:val="22"/>
          <w:szCs w:val="22"/>
        </w:rPr>
        <w:t xml:space="preserve">RACB </w:t>
      </w:r>
      <w:r w:rsidRPr="00982C45">
        <w:rPr>
          <w:sz w:val="22"/>
          <w:szCs w:val="22"/>
        </w:rPr>
        <w:t>Individual Animal Data”</w:t>
      </w:r>
    </w:p>
    <w:p w14:paraId="7E21992C" w14:textId="69FE2B50" w:rsidR="000D6C28" w:rsidRPr="00982C45" w:rsidRDefault="000D6C28" w:rsidP="00982C45">
      <w:pPr>
        <w:rPr>
          <w:sz w:val="22"/>
          <w:szCs w:val="22"/>
        </w:rPr>
      </w:pPr>
    </w:p>
    <w:p w14:paraId="15063F5D" w14:textId="4465DCCB" w:rsidR="00982C45" w:rsidRPr="00982C45" w:rsidRDefault="000D6C28" w:rsidP="00982C45">
      <w:pPr>
        <w:rPr>
          <w:rFonts w:cstheme="minorHAnsi"/>
          <w:color w:val="000000" w:themeColor="text1"/>
          <w:sz w:val="22"/>
          <w:szCs w:val="22"/>
        </w:rPr>
      </w:pPr>
      <w:r w:rsidRPr="00982C45">
        <w:rPr>
          <w:sz w:val="22"/>
          <w:szCs w:val="22"/>
        </w:rPr>
        <w:t xml:space="preserve">Additionally, this page contains supplemental </w:t>
      </w:r>
      <w:r w:rsidR="00982C45" w:rsidRPr="00982C45">
        <w:rPr>
          <w:sz w:val="22"/>
          <w:szCs w:val="22"/>
        </w:rPr>
        <w:t xml:space="preserve">methods and </w:t>
      </w:r>
      <w:r w:rsidR="0002532C">
        <w:rPr>
          <w:sz w:val="22"/>
          <w:szCs w:val="22"/>
        </w:rPr>
        <w:t>t</w:t>
      </w:r>
      <w:r w:rsidR="00982C45" w:rsidRPr="00982C45">
        <w:rPr>
          <w:sz w:val="22"/>
          <w:szCs w:val="22"/>
        </w:rPr>
        <w:t>ables fr</w:t>
      </w:r>
      <w:r w:rsidR="0002532C">
        <w:rPr>
          <w:sz w:val="22"/>
          <w:szCs w:val="22"/>
        </w:rPr>
        <w:t>o</w:t>
      </w:r>
      <w:r w:rsidR="00982C45" w:rsidRPr="00982C45">
        <w:rPr>
          <w:sz w:val="22"/>
          <w:szCs w:val="22"/>
        </w:rPr>
        <w:t>m the related manuscript titled “</w:t>
      </w:r>
      <w:r w:rsidR="00982C45" w:rsidRPr="00982C45">
        <w:rPr>
          <w:rFonts w:cstheme="minorHAnsi"/>
          <w:color w:val="000000" w:themeColor="text1"/>
          <w:sz w:val="22"/>
          <w:szCs w:val="22"/>
        </w:rPr>
        <w:t xml:space="preserve">Multigenerational Reproductive Assessment of 4-Methylimidazole administered in the diet to </w:t>
      </w:r>
      <w:proofErr w:type="spellStart"/>
      <w:proofErr w:type="gramStart"/>
      <w:r w:rsidR="00982C45" w:rsidRPr="00982C45">
        <w:rPr>
          <w:rFonts w:cstheme="minorHAnsi"/>
          <w:color w:val="000000" w:themeColor="text1"/>
          <w:sz w:val="22"/>
          <w:szCs w:val="22"/>
        </w:rPr>
        <w:t>Hsd:Sprague</w:t>
      </w:r>
      <w:proofErr w:type="spellEnd"/>
      <w:proofErr w:type="gramEnd"/>
      <w:r w:rsidR="00982C45" w:rsidRPr="00982C45">
        <w:rPr>
          <w:rFonts w:cstheme="minorHAnsi"/>
          <w:color w:val="000000" w:themeColor="text1"/>
          <w:sz w:val="22"/>
          <w:szCs w:val="22"/>
        </w:rPr>
        <w:t xml:space="preserve"> Dawley SD rats</w:t>
      </w:r>
      <w:r w:rsidR="00982C45">
        <w:rPr>
          <w:rFonts w:cstheme="minorHAnsi"/>
          <w:color w:val="000000" w:themeColor="text1"/>
          <w:sz w:val="22"/>
          <w:szCs w:val="22"/>
        </w:rPr>
        <w:t xml:space="preserve">”. This material can be found under </w:t>
      </w:r>
      <w:bookmarkStart w:id="0" w:name="_GoBack"/>
      <w:bookmarkEnd w:id="0"/>
      <w:r w:rsidR="0002532C">
        <w:rPr>
          <w:rFonts w:cstheme="minorHAnsi"/>
          <w:color w:val="000000" w:themeColor="text1"/>
          <w:sz w:val="22"/>
          <w:szCs w:val="22"/>
        </w:rPr>
        <w:t>“Supplemental</w:t>
      </w:r>
      <w:r w:rsidR="00982C45">
        <w:rPr>
          <w:rFonts w:cstheme="minorHAnsi"/>
          <w:color w:val="000000" w:themeColor="text1"/>
          <w:sz w:val="22"/>
          <w:szCs w:val="22"/>
        </w:rPr>
        <w:t xml:space="preserve"> Material”</w:t>
      </w:r>
      <w:r w:rsidR="00982C45" w:rsidRPr="00982C45">
        <w:rPr>
          <w:rFonts w:cstheme="minorHAnsi"/>
          <w:color w:val="000000" w:themeColor="text1"/>
          <w:sz w:val="22"/>
          <w:szCs w:val="22"/>
        </w:rPr>
        <w:t xml:space="preserve"> </w:t>
      </w:r>
    </w:p>
    <w:p w14:paraId="56D07F7E" w14:textId="6865484F" w:rsidR="000D6C28" w:rsidRPr="00982C45" w:rsidRDefault="000D6C28" w:rsidP="00982C45">
      <w:pPr>
        <w:rPr>
          <w:sz w:val="22"/>
          <w:szCs w:val="22"/>
        </w:rPr>
      </w:pPr>
    </w:p>
    <w:p w14:paraId="75D0F2D7" w14:textId="77777777" w:rsidR="000D6C28" w:rsidRDefault="000D6C28" w:rsidP="003950EE">
      <w:pPr>
        <w:rPr>
          <w:sz w:val="22"/>
          <w:szCs w:val="22"/>
        </w:rPr>
      </w:pPr>
    </w:p>
    <w:p w14:paraId="417D689D" w14:textId="03231A7E" w:rsidR="003950EE" w:rsidRDefault="003950EE" w:rsidP="003950EE">
      <w:pPr>
        <w:rPr>
          <w:sz w:val="22"/>
          <w:szCs w:val="22"/>
        </w:rPr>
      </w:pPr>
    </w:p>
    <w:p w14:paraId="74BC03E0" w14:textId="77777777" w:rsidR="003950EE" w:rsidRPr="003950EE" w:rsidRDefault="003950EE" w:rsidP="003950EE">
      <w:pPr>
        <w:rPr>
          <w:sz w:val="22"/>
          <w:szCs w:val="22"/>
        </w:rPr>
      </w:pPr>
    </w:p>
    <w:sectPr w:rsidR="003950EE" w:rsidRPr="003950EE" w:rsidSect="00AB0D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5634" w14:textId="77777777" w:rsidR="00A54018" w:rsidRDefault="00A54018" w:rsidP="003950EE">
      <w:r>
        <w:separator/>
      </w:r>
    </w:p>
  </w:endnote>
  <w:endnote w:type="continuationSeparator" w:id="0">
    <w:p w14:paraId="5D207CAC" w14:textId="77777777" w:rsidR="00A54018" w:rsidRDefault="00A54018" w:rsidP="0039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81E1" w14:textId="77777777" w:rsidR="00A54018" w:rsidRDefault="00A54018" w:rsidP="003950EE">
      <w:r>
        <w:separator/>
      </w:r>
    </w:p>
  </w:footnote>
  <w:footnote w:type="continuationSeparator" w:id="0">
    <w:p w14:paraId="59E75193" w14:textId="77777777" w:rsidR="00A54018" w:rsidRDefault="00A54018" w:rsidP="0039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C48F" w14:textId="3A5CEF0C" w:rsidR="003950EE" w:rsidRDefault="003950EE">
    <w:pPr>
      <w:pStyle w:val="Header"/>
    </w:pPr>
    <w:r>
      <w:t>README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EE"/>
    <w:rsid w:val="0002532C"/>
    <w:rsid w:val="000D6C28"/>
    <w:rsid w:val="003950EE"/>
    <w:rsid w:val="004E2932"/>
    <w:rsid w:val="008039F3"/>
    <w:rsid w:val="00982C45"/>
    <w:rsid w:val="00A54018"/>
    <w:rsid w:val="00AB0DD9"/>
    <w:rsid w:val="00E4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F478A"/>
  <w14:defaultImageDpi w14:val="32767"/>
  <w15:chartTrackingRefBased/>
  <w15:docId w15:val="{371AFD92-7916-F949-8E4F-CCB35980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0EE"/>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3950EE"/>
    <w:pPr>
      <w:tabs>
        <w:tab w:val="center" w:pos="4680"/>
        <w:tab w:val="right" w:pos="9360"/>
      </w:tabs>
    </w:pPr>
  </w:style>
  <w:style w:type="character" w:customStyle="1" w:styleId="HeaderChar">
    <w:name w:val="Header Char"/>
    <w:basedOn w:val="DefaultParagraphFont"/>
    <w:link w:val="Header"/>
    <w:uiPriority w:val="99"/>
    <w:rsid w:val="003950EE"/>
  </w:style>
  <w:style w:type="paragraph" w:styleId="Footer">
    <w:name w:val="footer"/>
    <w:basedOn w:val="Normal"/>
    <w:link w:val="FooterChar"/>
    <w:uiPriority w:val="99"/>
    <w:unhideWhenUsed/>
    <w:rsid w:val="003950EE"/>
    <w:pPr>
      <w:tabs>
        <w:tab w:val="center" w:pos="4680"/>
        <w:tab w:val="right" w:pos="9360"/>
      </w:tabs>
    </w:pPr>
  </w:style>
  <w:style w:type="character" w:customStyle="1" w:styleId="FooterChar">
    <w:name w:val="Footer Char"/>
    <w:basedOn w:val="DefaultParagraphFont"/>
    <w:link w:val="Footer"/>
    <w:uiPriority w:val="99"/>
    <w:rsid w:val="0039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 Mamta (NIH/NIEHS) [E]</dc:creator>
  <cp:keywords/>
  <dc:description/>
  <cp:lastModifiedBy>Behl, Mamta (NIH/NIEHS) [E]</cp:lastModifiedBy>
  <cp:revision>3</cp:revision>
  <dcterms:created xsi:type="dcterms:W3CDTF">2019-08-14T15:32:00Z</dcterms:created>
  <dcterms:modified xsi:type="dcterms:W3CDTF">2019-08-14T15:50:00Z</dcterms:modified>
</cp:coreProperties>
</file>