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8C4F" w14:textId="77777777" w:rsidR="00020E4F" w:rsidRDefault="00020E4F" w:rsidP="00020E4F">
      <w:pPr>
        <w:pStyle w:val="Heading3"/>
      </w:pPr>
      <w:r>
        <w:t>Male Liver Top 10 Genes Ranked by Potency of Perturbation (Sorted by BMD Median)</w:t>
      </w:r>
    </w:p>
    <w:tbl>
      <w:tblPr>
        <w:tblW w:w="0" w:type="auto"/>
        <w:tblLook w:val="04A0" w:firstRow="1" w:lastRow="0" w:firstColumn="1" w:lastColumn="0" w:noHBand="0" w:noVBand="1"/>
      </w:tblPr>
      <w:tblGrid>
        <w:gridCol w:w="1999"/>
        <w:gridCol w:w="1720"/>
        <w:gridCol w:w="1585"/>
        <w:gridCol w:w="1336"/>
        <w:gridCol w:w="1337"/>
        <w:gridCol w:w="1383"/>
      </w:tblGrid>
      <w:tr w:rsidR="00020E4F" w14:paraId="6324F861" w14:textId="77777777" w:rsidTr="00020E4F">
        <w:tc>
          <w:tcPr>
            <w:tcW w:w="1999" w:type="dxa"/>
            <w:tcBorders>
              <w:top w:val="single" w:sz="2" w:space="0" w:color="000000"/>
              <w:left w:val="nil"/>
              <w:bottom w:val="single" w:sz="2" w:space="0" w:color="000000"/>
              <w:right w:val="nil"/>
            </w:tcBorders>
            <w:vAlign w:val="center"/>
            <w:hideMark/>
          </w:tcPr>
          <w:p w14:paraId="713A596F" w14:textId="77777777" w:rsidR="00020E4F" w:rsidRDefault="00020E4F">
            <w:pPr>
              <w:pStyle w:val="bmdsTblBody"/>
            </w:pPr>
            <w:r>
              <w:rPr>
                <w:b/>
              </w:rPr>
              <w:t>Gene Symbol</w:t>
            </w:r>
          </w:p>
        </w:tc>
        <w:tc>
          <w:tcPr>
            <w:tcW w:w="1720" w:type="dxa"/>
            <w:tcBorders>
              <w:top w:val="single" w:sz="2" w:space="0" w:color="000000"/>
              <w:left w:val="nil"/>
              <w:bottom w:val="single" w:sz="2" w:space="0" w:color="000000"/>
              <w:right w:val="nil"/>
            </w:tcBorders>
            <w:vAlign w:val="center"/>
            <w:hideMark/>
          </w:tcPr>
          <w:p w14:paraId="6685F401" w14:textId="77777777" w:rsidR="00020E4F" w:rsidRDefault="00020E4F">
            <w:pPr>
              <w:pStyle w:val="bmdsTblHeader"/>
              <w:jc w:val="center"/>
            </w:pPr>
            <w:r>
              <w:t>Entrez Gene IDs</w:t>
            </w:r>
          </w:p>
        </w:tc>
        <w:tc>
          <w:tcPr>
            <w:tcW w:w="1585" w:type="dxa"/>
            <w:tcBorders>
              <w:top w:val="single" w:sz="2" w:space="0" w:color="000000"/>
              <w:left w:val="nil"/>
              <w:bottom w:val="single" w:sz="2" w:space="0" w:color="000000"/>
              <w:right w:val="nil"/>
            </w:tcBorders>
            <w:vAlign w:val="center"/>
            <w:hideMark/>
          </w:tcPr>
          <w:p w14:paraId="3BEEADCB" w14:textId="77777777" w:rsidR="00020E4F" w:rsidRDefault="00020E4F">
            <w:pPr>
              <w:pStyle w:val="bmdsTblHeader"/>
              <w:jc w:val="center"/>
            </w:pPr>
            <w:r>
              <w:t>Probe IDs</w:t>
            </w:r>
          </w:p>
        </w:tc>
        <w:tc>
          <w:tcPr>
            <w:tcW w:w="1336" w:type="dxa"/>
            <w:tcBorders>
              <w:top w:val="single" w:sz="2" w:space="0" w:color="000000"/>
              <w:left w:val="nil"/>
              <w:bottom w:val="single" w:sz="2" w:space="0" w:color="000000"/>
              <w:right w:val="nil"/>
            </w:tcBorders>
            <w:vAlign w:val="center"/>
            <w:hideMark/>
          </w:tcPr>
          <w:p w14:paraId="4E8E2002" w14:textId="77777777" w:rsidR="00020E4F" w:rsidRDefault="00020E4F">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337" w:type="dxa"/>
            <w:tcBorders>
              <w:top w:val="single" w:sz="2" w:space="0" w:color="000000"/>
              <w:left w:val="nil"/>
              <w:bottom w:val="single" w:sz="2" w:space="0" w:color="000000"/>
              <w:right w:val="nil"/>
            </w:tcBorders>
            <w:vAlign w:val="center"/>
            <w:hideMark/>
          </w:tcPr>
          <w:p w14:paraId="3D6ECFB5" w14:textId="77777777" w:rsidR="00020E4F" w:rsidRDefault="00020E4F">
            <w:pPr>
              <w:pStyle w:val="bmdsTblHeader"/>
              <w:jc w:val="center"/>
            </w:pPr>
            <w:r>
              <w:t>Maximum Fold Change</w:t>
            </w:r>
          </w:p>
        </w:tc>
        <w:tc>
          <w:tcPr>
            <w:tcW w:w="1383" w:type="dxa"/>
            <w:tcBorders>
              <w:top w:val="single" w:sz="2" w:space="0" w:color="000000"/>
              <w:left w:val="nil"/>
              <w:bottom w:val="single" w:sz="2" w:space="0" w:color="000000"/>
              <w:right w:val="nil"/>
            </w:tcBorders>
            <w:vAlign w:val="center"/>
            <w:hideMark/>
          </w:tcPr>
          <w:p w14:paraId="5F232A91" w14:textId="77777777" w:rsidR="00020E4F" w:rsidRDefault="00020E4F">
            <w:pPr>
              <w:pStyle w:val="bmdsTblHeader"/>
              <w:jc w:val="center"/>
            </w:pPr>
            <w:r>
              <w:t>Direction of Expression Change</w:t>
            </w:r>
          </w:p>
        </w:tc>
      </w:tr>
      <w:tr w:rsidR="00020E4F" w14:paraId="47D5D37A" w14:textId="77777777" w:rsidTr="00020E4F">
        <w:tc>
          <w:tcPr>
            <w:tcW w:w="1999" w:type="dxa"/>
            <w:vAlign w:val="center"/>
            <w:hideMark/>
          </w:tcPr>
          <w:p w14:paraId="1C599D2C" w14:textId="77777777" w:rsidR="00020E4F" w:rsidRDefault="00020E4F">
            <w:pPr>
              <w:pStyle w:val="bmdsTblBody"/>
            </w:pPr>
            <w:proofErr w:type="spellStart"/>
            <w:r>
              <w:rPr>
                <w:b/>
              </w:rPr>
              <w:t>myc</w:t>
            </w:r>
            <w:proofErr w:type="spellEnd"/>
          </w:p>
        </w:tc>
        <w:tc>
          <w:tcPr>
            <w:tcW w:w="1720" w:type="dxa"/>
            <w:vAlign w:val="center"/>
            <w:hideMark/>
          </w:tcPr>
          <w:p w14:paraId="34EF6518" w14:textId="77777777" w:rsidR="00020E4F" w:rsidRDefault="00020E4F">
            <w:pPr>
              <w:pStyle w:val="bmdsTblBody"/>
              <w:jc w:val="center"/>
            </w:pPr>
            <w:r>
              <w:rPr>
                <w:sz w:val="16"/>
              </w:rPr>
              <w:t>24577</w:t>
            </w:r>
          </w:p>
        </w:tc>
        <w:tc>
          <w:tcPr>
            <w:tcW w:w="1585" w:type="dxa"/>
            <w:vAlign w:val="center"/>
            <w:hideMark/>
          </w:tcPr>
          <w:p w14:paraId="5F0627D4" w14:textId="77777777" w:rsidR="00020E4F" w:rsidRDefault="00020E4F">
            <w:pPr>
              <w:pStyle w:val="bmdsTblBody"/>
              <w:jc w:val="center"/>
            </w:pPr>
            <w:r>
              <w:rPr>
                <w:sz w:val="16"/>
              </w:rPr>
              <w:t>MYC_9271</w:t>
            </w:r>
          </w:p>
        </w:tc>
        <w:tc>
          <w:tcPr>
            <w:tcW w:w="1336" w:type="dxa"/>
            <w:vAlign w:val="center"/>
            <w:hideMark/>
          </w:tcPr>
          <w:p w14:paraId="0A32CF41" w14:textId="77777777" w:rsidR="00020E4F" w:rsidRDefault="00020E4F">
            <w:pPr>
              <w:pStyle w:val="bmdsTblBody"/>
              <w:jc w:val="center"/>
            </w:pPr>
            <w:r>
              <w:rPr>
                <w:sz w:val="16"/>
              </w:rPr>
              <w:t>0.186 (0.103-0.478)</w:t>
            </w:r>
          </w:p>
        </w:tc>
        <w:tc>
          <w:tcPr>
            <w:tcW w:w="1337" w:type="dxa"/>
            <w:vAlign w:val="center"/>
            <w:hideMark/>
          </w:tcPr>
          <w:p w14:paraId="5A459EEB" w14:textId="77777777" w:rsidR="00020E4F" w:rsidRDefault="00020E4F">
            <w:pPr>
              <w:pStyle w:val="bmdsTblBody"/>
              <w:jc w:val="center"/>
            </w:pPr>
            <w:r>
              <w:rPr>
                <w:sz w:val="16"/>
              </w:rPr>
              <w:t>3.3</w:t>
            </w:r>
          </w:p>
        </w:tc>
        <w:tc>
          <w:tcPr>
            <w:tcW w:w="1383" w:type="dxa"/>
            <w:vAlign w:val="center"/>
            <w:hideMark/>
          </w:tcPr>
          <w:p w14:paraId="3BEE80F4" w14:textId="77777777" w:rsidR="00020E4F" w:rsidRDefault="00020E4F">
            <w:pPr>
              <w:pStyle w:val="bmdsTblBody"/>
              <w:jc w:val="center"/>
            </w:pPr>
            <w:r>
              <w:rPr>
                <w:sz w:val="16"/>
              </w:rPr>
              <w:t>DOWN</w:t>
            </w:r>
          </w:p>
        </w:tc>
      </w:tr>
      <w:tr w:rsidR="00020E4F" w14:paraId="185D617F" w14:textId="77777777" w:rsidTr="00020E4F">
        <w:tc>
          <w:tcPr>
            <w:tcW w:w="1999" w:type="dxa"/>
            <w:vAlign w:val="center"/>
            <w:hideMark/>
          </w:tcPr>
          <w:p w14:paraId="711ECA0E" w14:textId="77777777" w:rsidR="00020E4F" w:rsidRDefault="00020E4F">
            <w:pPr>
              <w:pStyle w:val="bmdsTblBody"/>
            </w:pPr>
            <w:proofErr w:type="spellStart"/>
            <w:r>
              <w:rPr>
                <w:b/>
              </w:rPr>
              <w:t>zfp36</w:t>
            </w:r>
            <w:proofErr w:type="spellEnd"/>
          </w:p>
        </w:tc>
        <w:tc>
          <w:tcPr>
            <w:tcW w:w="1720" w:type="dxa"/>
            <w:vAlign w:val="center"/>
            <w:hideMark/>
          </w:tcPr>
          <w:p w14:paraId="453A7A04" w14:textId="77777777" w:rsidR="00020E4F" w:rsidRDefault="00020E4F">
            <w:pPr>
              <w:pStyle w:val="bmdsTblBody"/>
              <w:jc w:val="center"/>
            </w:pPr>
            <w:r>
              <w:rPr>
                <w:sz w:val="16"/>
              </w:rPr>
              <w:t>79426</w:t>
            </w:r>
          </w:p>
        </w:tc>
        <w:tc>
          <w:tcPr>
            <w:tcW w:w="1585" w:type="dxa"/>
            <w:vAlign w:val="center"/>
            <w:hideMark/>
          </w:tcPr>
          <w:p w14:paraId="6F67B9E7" w14:textId="77777777" w:rsidR="00020E4F" w:rsidRDefault="00020E4F">
            <w:pPr>
              <w:pStyle w:val="bmdsTblBody"/>
              <w:jc w:val="center"/>
            </w:pPr>
            <w:r>
              <w:rPr>
                <w:sz w:val="16"/>
              </w:rPr>
              <w:t>ZFP36_10204</w:t>
            </w:r>
          </w:p>
        </w:tc>
        <w:tc>
          <w:tcPr>
            <w:tcW w:w="1336" w:type="dxa"/>
            <w:vAlign w:val="center"/>
            <w:hideMark/>
          </w:tcPr>
          <w:p w14:paraId="7953B393" w14:textId="77777777" w:rsidR="00020E4F" w:rsidRDefault="00020E4F">
            <w:pPr>
              <w:pStyle w:val="bmdsTblBody"/>
              <w:jc w:val="center"/>
            </w:pPr>
            <w:r>
              <w:rPr>
                <w:sz w:val="16"/>
              </w:rPr>
              <w:t>0.368 (0.097-1.817)</w:t>
            </w:r>
          </w:p>
        </w:tc>
        <w:tc>
          <w:tcPr>
            <w:tcW w:w="1337" w:type="dxa"/>
            <w:vAlign w:val="center"/>
            <w:hideMark/>
          </w:tcPr>
          <w:p w14:paraId="1B1CF488" w14:textId="77777777" w:rsidR="00020E4F" w:rsidRDefault="00020E4F">
            <w:pPr>
              <w:pStyle w:val="bmdsTblBody"/>
              <w:jc w:val="center"/>
            </w:pPr>
            <w:r>
              <w:rPr>
                <w:sz w:val="16"/>
              </w:rPr>
              <w:t>2.1</w:t>
            </w:r>
          </w:p>
        </w:tc>
        <w:tc>
          <w:tcPr>
            <w:tcW w:w="1383" w:type="dxa"/>
            <w:vAlign w:val="center"/>
            <w:hideMark/>
          </w:tcPr>
          <w:p w14:paraId="40DDCF10" w14:textId="77777777" w:rsidR="00020E4F" w:rsidRDefault="00020E4F">
            <w:pPr>
              <w:pStyle w:val="bmdsTblBody"/>
              <w:jc w:val="center"/>
            </w:pPr>
            <w:r>
              <w:rPr>
                <w:sz w:val="16"/>
              </w:rPr>
              <w:t>DOWN</w:t>
            </w:r>
          </w:p>
        </w:tc>
      </w:tr>
      <w:tr w:rsidR="00020E4F" w14:paraId="1D767D1A" w14:textId="77777777" w:rsidTr="00020E4F">
        <w:tc>
          <w:tcPr>
            <w:tcW w:w="1999" w:type="dxa"/>
            <w:vAlign w:val="center"/>
            <w:hideMark/>
          </w:tcPr>
          <w:p w14:paraId="5171FFF4" w14:textId="77777777" w:rsidR="00020E4F" w:rsidRDefault="00020E4F">
            <w:pPr>
              <w:pStyle w:val="bmdsTblBody"/>
            </w:pPr>
            <w:proofErr w:type="spellStart"/>
            <w:r>
              <w:rPr>
                <w:b/>
              </w:rPr>
              <w:t>acot2</w:t>
            </w:r>
            <w:proofErr w:type="spellEnd"/>
          </w:p>
        </w:tc>
        <w:tc>
          <w:tcPr>
            <w:tcW w:w="1720" w:type="dxa"/>
            <w:vAlign w:val="center"/>
            <w:hideMark/>
          </w:tcPr>
          <w:p w14:paraId="1D752409" w14:textId="77777777" w:rsidR="00020E4F" w:rsidRDefault="00020E4F">
            <w:pPr>
              <w:pStyle w:val="bmdsTblBody"/>
              <w:jc w:val="center"/>
            </w:pPr>
            <w:r>
              <w:rPr>
                <w:sz w:val="16"/>
              </w:rPr>
              <w:t>192272</w:t>
            </w:r>
          </w:p>
        </w:tc>
        <w:tc>
          <w:tcPr>
            <w:tcW w:w="1585" w:type="dxa"/>
            <w:vAlign w:val="center"/>
            <w:hideMark/>
          </w:tcPr>
          <w:p w14:paraId="31F4326E" w14:textId="77777777" w:rsidR="00020E4F" w:rsidRDefault="00020E4F">
            <w:pPr>
              <w:pStyle w:val="bmdsTblBody"/>
              <w:jc w:val="center"/>
            </w:pPr>
            <w:r>
              <w:rPr>
                <w:sz w:val="16"/>
              </w:rPr>
              <w:t>ACOT2_7969</w:t>
            </w:r>
          </w:p>
        </w:tc>
        <w:tc>
          <w:tcPr>
            <w:tcW w:w="1336" w:type="dxa"/>
            <w:vAlign w:val="center"/>
            <w:hideMark/>
          </w:tcPr>
          <w:p w14:paraId="003F728B" w14:textId="77777777" w:rsidR="00020E4F" w:rsidRDefault="00020E4F">
            <w:pPr>
              <w:pStyle w:val="bmdsTblBody"/>
              <w:jc w:val="center"/>
            </w:pPr>
            <w:r>
              <w:rPr>
                <w:sz w:val="16"/>
              </w:rPr>
              <w:t>1.012 (0.809-1.377)</w:t>
            </w:r>
          </w:p>
        </w:tc>
        <w:tc>
          <w:tcPr>
            <w:tcW w:w="1337" w:type="dxa"/>
            <w:vAlign w:val="center"/>
            <w:hideMark/>
          </w:tcPr>
          <w:p w14:paraId="1D19E40A" w14:textId="77777777" w:rsidR="00020E4F" w:rsidRDefault="00020E4F">
            <w:pPr>
              <w:pStyle w:val="bmdsTblBody"/>
              <w:jc w:val="center"/>
            </w:pPr>
            <w:r>
              <w:rPr>
                <w:sz w:val="16"/>
              </w:rPr>
              <w:t>19.9</w:t>
            </w:r>
          </w:p>
        </w:tc>
        <w:tc>
          <w:tcPr>
            <w:tcW w:w="1383" w:type="dxa"/>
            <w:vAlign w:val="center"/>
            <w:hideMark/>
          </w:tcPr>
          <w:p w14:paraId="054E0730" w14:textId="77777777" w:rsidR="00020E4F" w:rsidRDefault="00020E4F">
            <w:pPr>
              <w:pStyle w:val="bmdsTblBody"/>
              <w:jc w:val="center"/>
            </w:pPr>
            <w:r>
              <w:rPr>
                <w:sz w:val="16"/>
              </w:rPr>
              <w:t>UP</w:t>
            </w:r>
          </w:p>
        </w:tc>
      </w:tr>
      <w:tr w:rsidR="00020E4F" w14:paraId="493DDDF5" w14:textId="77777777" w:rsidTr="00020E4F">
        <w:tc>
          <w:tcPr>
            <w:tcW w:w="1999" w:type="dxa"/>
            <w:vAlign w:val="center"/>
            <w:hideMark/>
          </w:tcPr>
          <w:p w14:paraId="65AA1EEB" w14:textId="77777777" w:rsidR="00020E4F" w:rsidRDefault="00020E4F">
            <w:pPr>
              <w:pStyle w:val="bmdsTblBody"/>
            </w:pPr>
            <w:proofErr w:type="spellStart"/>
            <w:r>
              <w:rPr>
                <w:b/>
              </w:rPr>
              <w:t>eci1</w:t>
            </w:r>
            <w:proofErr w:type="spellEnd"/>
          </w:p>
        </w:tc>
        <w:tc>
          <w:tcPr>
            <w:tcW w:w="1720" w:type="dxa"/>
            <w:vAlign w:val="center"/>
            <w:hideMark/>
          </w:tcPr>
          <w:p w14:paraId="4A70FA5B" w14:textId="77777777" w:rsidR="00020E4F" w:rsidRDefault="00020E4F">
            <w:pPr>
              <w:pStyle w:val="bmdsTblBody"/>
              <w:jc w:val="center"/>
            </w:pPr>
            <w:r>
              <w:rPr>
                <w:sz w:val="16"/>
              </w:rPr>
              <w:t>29740</w:t>
            </w:r>
          </w:p>
        </w:tc>
        <w:tc>
          <w:tcPr>
            <w:tcW w:w="1585" w:type="dxa"/>
            <w:vAlign w:val="center"/>
            <w:hideMark/>
          </w:tcPr>
          <w:p w14:paraId="6B415EDB" w14:textId="77777777" w:rsidR="00020E4F" w:rsidRDefault="00020E4F">
            <w:pPr>
              <w:pStyle w:val="bmdsTblBody"/>
              <w:jc w:val="center"/>
            </w:pPr>
            <w:r>
              <w:rPr>
                <w:sz w:val="16"/>
              </w:rPr>
              <w:t>ECI1_8520</w:t>
            </w:r>
          </w:p>
        </w:tc>
        <w:tc>
          <w:tcPr>
            <w:tcW w:w="1336" w:type="dxa"/>
            <w:vAlign w:val="center"/>
            <w:hideMark/>
          </w:tcPr>
          <w:p w14:paraId="45E0E3AE" w14:textId="77777777" w:rsidR="00020E4F" w:rsidRDefault="00020E4F">
            <w:pPr>
              <w:pStyle w:val="bmdsTblBody"/>
              <w:jc w:val="center"/>
            </w:pPr>
            <w:r>
              <w:rPr>
                <w:sz w:val="16"/>
              </w:rPr>
              <w:t>1.013 (0.769-1.465)</w:t>
            </w:r>
          </w:p>
        </w:tc>
        <w:tc>
          <w:tcPr>
            <w:tcW w:w="1337" w:type="dxa"/>
            <w:vAlign w:val="center"/>
            <w:hideMark/>
          </w:tcPr>
          <w:p w14:paraId="5F8B683F" w14:textId="77777777" w:rsidR="00020E4F" w:rsidRDefault="00020E4F">
            <w:pPr>
              <w:pStyle w:val="bmdsTblBody"/>
              <w:jc w:val="center"/>
            </w:pPr>
            <w:r>
              <w:rPr>
                <w:sz w:val="16"/>
              </w:rPr>
              <w:t>23.5</w:t>
            </w:r>
          </w:p>
        </w:tc>
        <w:tc>
          <w:tcPr>
            <w:tcW w:w="1383" w:type="dxa"/>
            <w:vAlign w:val="center"/>
            <w:hideMark/>
          </w:tcPr>
          <w:p w14:paraId="022B1128" w14:textId="77777777" w:rsidR="00020E4F" w:rsidRDefault="00020E4F">
            <w:pPr>
              <w:pStyle w:val="bmdsTblBody"/>
              <w:jc w:val="center"/>
            </w:pPr>
            <w:r>
              <w:rPr>
                <w:sz w:val="16"/>
              </w:rPr>
              <w:t>UP</w:t>
            </w:r>
          </w:p>
        </w:tc>
      </w:tr>
      <w:tr w:rsidR="00020E4F" w14:paraId="7E9BDDEC" w14:textId="77777777" w:rsidTr="00020E4F">
        <w:tc>
          <w:tcPr>
            <w:tcW w:w="1999" w:type="dxa"/>
            <w:vAlign w:val="center"/>
            <w:hideMark/>
          </w:tcPr>
          <w:p w14:paraId="6578E336" w14:textId="77777777" w:rsidR="00020E4F" w:rsidRDefault="00020E4F">
            <w:pPr>
              <w:pStyle w:val="bmdsTblBody"/>
            </w:pPr>
            <w:proofErr w:type="spellStart"/>
            <w:r>
              <w:rPr>
                <w:b/>
              </w:rPr>
              <w:t>loc100911558</w:t>
            </w:r>
            <w:proofErr w:type="spellEnd"/>
          </w:p>
        </w:tc>
        <w:tc>
          <w:tcPr>
            <w:tcW w:w="1720" w:type="dxa"/>
            <w:vAlign w:val="center"/>
            <w:hideMark/>
          </w:tcPr>
          <w:p w14:paraId="69B16BFA" w14:textId="77777777" w:rsidR="00020E4F" w:rsidRDefault="00020E4F">
            <w:pPr>
              <w:pStyle w:val="bmdsTblBody"/>
              <w:jc w:val="center"/>
            </w:pPr>
            <w:r>
              <w:rPr>
                <w:sz w:val="16"/>
              </w:rPr>
              <w:t>100911558</w:t>
            </w:r>
          </w:p>
        </w:tc>
        <w:tc>
          <w:tcPr>
            <w:tcW w:w="1585" w:type="dxa"/>
            <w:vAlign w:val="center"/>
            <w:hideMark/>
          </w:tcPr>
          <w:p w14:paraId="56883C19" w14:textId="77777777" w:rsidR="00020E4F" w:rsidRDefault="00020E4F">
            <w:pPr>
              <w:pStyle w:val="bmdsTblBody"/>
              <w:jc w:val="center"/>
            </w:pPr>
            <w:r>
              <w:rPr>
                <w:sz w:val="16"/>
              </w:rPr>
              <w:t>SPINK1_32461</w:t>
            </w:r>
          </w:p>
        </w:tc>
        <w:tc>
          <w:tcPr>
            <w:tcW w:w="1336" w:type="dxa"/>
            <w:vAlign w:val="center"/>
            <w:hideMark/>
          </w:tcPr>
          <w:p w14:paraId="43766299" w14:textId="77777777" w:rsidR="00020E4F" w:rsidRDefault="00020E4F">
            <w:pPr>
              <w:pStyle w:val="bmdsTblBody"/>
              <w:jc w:val="center"/>
            </w:pPr>
            <w:r>
              <w:rPr>
                <w:sz w:val="16"/>
              </w:rPr>
              <w:t>1.270 (0.542-3.173)</w:t>
            </w:r>
          </w:p>
        </w:tc>
        <w:tc>
          <w:tcPr>
            <w:tcW w:w="1337" w:type="dxa"/>
            <w:vAlign w:val="center"/>
            <w:hideMark/>
          </w:tcPr>
          <w:p w14:paraId="2FB1676B" w14:textId="77777777" w:rsidR="00020E4F" w:rsidRDefault="00020E4F">
            <w:pPr>
              <w:pStyle w:val="bmdsTblBody"/>
              <w:jc w:val="center"/>
            </w:pPr>
            <w:r>
              <w:rPr>
                <w:sz w:val="16"/>
              </w:rPr>
              <w:t>2.0</w:t>
            </w:r>
          </w:p>
        </w:tc>
        <w:tc>
          <w:tcPr>
            <w:tcW w:w="1383" w:type="dxa"/>
            <w:vAlign w:val="center"/>
            <w:hideMark/>
          </w:tcPr>
          <w:p w14:paraId="43D9338F" w14:textId="77777777" w:rsidR="00020E4F" w:rsidRDefault="00020E4F">
            <w:pPr>
              <w:pStyle w:val="bmdsTblBody"/>
              <w:jc w:val="center"/>
            </w:pPr>
            <w:r>
              <w:rPr>
                <w:sz w:val="16"/>
              </w:rPr>
              <w:t>UP</w:t>
            </w:r>
          </w:p>
        </w:tc>
      </w:tr>
      <w:tr w:rsidR="00020E4F" w14:paraId="4AE6EC85" w14:textId="77777777" w:rsidTr="00020E4F">
        <w:tc>
          <w:tcPr>
            <w:tcW w:w="1999" w:type="dxa"/>
            <w:vAlign w:val="center"/>
            <w:hideMark/>
          </w:tcPr>
          <w:p w14:paraId="3C9D92EE" w14:textId="77777777" w:rsidR="00020E4F" w:rsidRDefault="00020E4F">
            <w:pPr>
              <w:pStyle w:val="bmdsTblBody"/>
            </w:pPr>
            <w:proofErr w:type="spellStart"/>
            <w:r>
              <w:rPr>
                <w:b/>
              </w:rPr>
              <w:t>spink1</w:t>
            </w:r>
            <w:proofErr w:type="spellEnd"/>
          </w:p>
        </w:tc>
        <w:tc>
          <w:tcPr>
            <w:tcW w:w="1720" w:type="dxa"/>
            <w:vAlign w:val="center"/>
            <w:hideMark/>
          </w:tcPr>
          <w:p w14:paraId="041A9965" w14:textId="77777777" w:rsidR="00020E4F" w:rsidRDefault="00020E4F">
            <w:pPr>
              <w:pStyle w:val="bmdsTblBody"/>
              <w:jc w:val="center"/>
            </w:pPr>
            <w:r>
              <w:rPr>
                <w:sz w:val="16"/>
              </w:rPr>
              <w:t>266602</w:t>
            </w:r>
          </w:p>
        </w:tc>
        <w:tc>
          <w:tcPr>
            <w:tcW w:w="1585" w:type="dxa"/>
            <w:vAlign w:val="center"/>
            <w:hideMark/>
          </w:tcPr>
          <w:p w14:paraId="0B7B5E82" w14:textId="77777777" w:rsidR="00020E4F" w:rsidRDefault="00020E4F">
            <w:pPr>
              <w:pStyle w:val="bmdsTblBody"/>
              <w:jc w:val="center"/>
            </w:pPr>
            <w:r>
              <w:rPr>
                <w:sz w:val="16"/>
              </w:rPr>
              <w:t>SPINK1_32461</w:t>
            </w:r>
          </w:p>
        </w:tc>
        <w:tc>
          <w:tcPr>
            <w:tcW w:w="1336" w:type="dxa"/>
            <w:vAlign w:val="center"/>
            <w:hideMark/>
          </w:tcPr>
          <w:p w14:paraId="16E55827" w14:textId="77777777" w:rsidR="00020E4F" w:rsidRDefault="00020E4F">
            <w:pPr>
              <w:pStyle w:val="bmdsTblBody"/>
              <w:jc w:val="center"/>
            </w:pPr>
            <w:r>
              <w:rPr>
                <w:sz w:val="16"/>
              </w:rPr>
              <w:t>1.270 (0.542-3.173)</w:t>
            </w:r>
          </w:p>
        </w:tc>
        <w:tc>
          <w:tcPr>
            <w:tcW w:w="1337" w:type="dxa"/>
            <w:vAlign w:val="center"/>
            <w:hideMark/>
          </w:tcPr>
          <w:p w14:paraId="7773891C" w14:textId="77777777" w:rsidR="00020E4F" w:rsidRDefault="00020E4F">
            <w:pPr>
              <w:pStyle w:val="bmdsTblBody"/>
              <w:jc w:val="center"/>
            </w:pPr>
            <w:r>
              <w:rPr>
                <w:sz w:val="16"/>
              </w:rPr>
              <w:t>2.0</w:t>
            </w:r>
          </w:p>
        </w:tc>
        <w:tc>
          <w:tcPr>
            <w:tcW w:w="1383" w:type="dxa"/>
            <w:vAlign w:val="center"/>
            <w:hideMark/>
          </w:tcPr>
          <w:p w14:paraId="265FF92D" w14:textId="77777777" w:rsidR="00020E4F" w:rsidRDefault="00020E4F">
            <w:pPr>
              <w:pStyle w:val="bmdsTblBody"/>
              <w:jc w:val="center"/>
            </w:pPr>
            <w:r>
              <w:rPr>
                <w:sz w:val="16"/>
              </w:rPr>
              <w:t>UP</w:t>
            </w:r>
          </w:p>
        </w:tc>
      </w:tr>
      <w:tr w:rsidR="00020E4F" w14:paraId="3D438FDF" w14:textId="77777777" w:rsidTr="00020E4F">
        <w:tc>
          <w:tcPr>
            <w:tcW w:w="1999" w:type="dxa"/>
            <w:vAlign w:val="center"/>
            <w:hideMark/>
          </w:tcPr>
          <w:p w14:paraId="180C7480" w14:textId="77777777" w:rsidR="00020E4F" w:rsidRDefault="00020E4F">
            <w:pPr>
              <w:pStyle w:val="bmdsTblBody"/>
            </w:pPr>
            <w:proofErr w:type="spellStart"/>
            <w:r>
              <w:rPr>
                <w:b/>
              </w:rPr>
              <w:t>ehhadh</w:t>
            </w:r>
            <w:proofErr w:type="spellEnd"/>
          </w:p>
        </w:tc>
        <w:tc>
          <w:tcPr>
            <w:tcW w:w="1720" w:type="dxa"/>
            <w:vAlign w:val="center"/>
            <w:hideMark/>
          </w:tcPr>
          <w:p w14:paraId="30DDFF3C" w14:textId="77777777" w:rsidR="00020E4F" w:rsidRDefault="00020E4F">
            <w:pPr>
              <w:pStyle w:val="bmdsTblBody"/>
              <w:jc w:val="center"/>
            </w:pPr>
            <w:r>
              <w:rPr>
                <w:sz w:val="16"/>
              </w:rPr>
              <w:t>171142</w:t>
            </w:r>
          </w:p>
        </w:tc>
        <w:tc>
          <w:tcPr>
            <w:tcW w:w="1585" w:type="dxa"/>
            <w:vAlign w:val="center"/>
            <w:hideMark/>
          </w:tcPr>
          <w:p w14:paraId="4F956521" w14:textId="77777777" w:rsidR="00020E4F" w:rsidRDefault="00020E4F">
            <w:pPr>
              <w:pStyle w:val="bmdsTblBody"/>
              <w:jc w:val="center"/>
            </w:pPr>
            <w:r>
              <w:rPr>
                <w:sz w:val="16"/>
              </w:rPr>
              <w:t>EHHADH_8534</w:t>
            </w:r>
          </w:p>
        </w:tc>
        <w:tc>
          <w:tcPr>
            <w:tcW w:w="1336" w:type="dxa"/>
            <w:vAlign w:val="center"/>
            <w:hideMark/>
          </w:tcPr>
          <w:p w14:paraId="31559601" w14:textId="77777777" w:rsidR="00020E4F" w:rsidRDefault="00020E4F">
            <w:pPr>
              <w:pStyle w:val="bmdsTblBody"/>
              <w:jc w:val="center"/>
            </w:pPr>
            <w:r>
              <w:rPr>
                <w:sz w:val="16"/>
              </w:rPr>
              <w:t>1.280 (1.047-1.879)</w:t>
            </w:r>
          </w:p>
        </w:tc>
        <w:tc>
          <w:tcPr>
            <w:tcW w:w="1337" w:type="dxa"/>
            <w:vAlign w:val="center"/>
            <w:hideMark/>
          </w:tcPr>
          <w:p w14:paraId="3B68773C" w14:textId="77777777" w:rsidR="00020E4F" w:rsidRDefault="00020E4F">
            <w:pPr>
              <w:pStyle w:val="bmdsTblBody"/>
              <w:jc w:val="center"/>
            </w:pPr>
            <w:r>
              <w:rPr>
                <w:sz w:val="16"/>
              </w:rPr>
              <w:t>95.2</w:t>
            </w:r>
          </w:p>
        </w:tc>
        <w:tc>
          <w:tcPr>
            <w:tcW w:w="1383" w:type="dxa"/>
            <w:vAlign w:val="center"/>
            <w:hideMark/>
          </w:tcPr>
          <w:p w14:paraId="31B30E97" w14:textId="77777777" w:rsidR="00020E4F" w:rsidRDefault="00020E4F">
            <w:pPr>
              <w:pStyle w:val="bmdsTblBody"/>
              <w:jc w:val="center"/>
            </w:pPr>
            <w:r>
              <w:rPr>
                <w:sz w:val="16"/>
              </w:rPr>
              <w:t>UP</w:t>
            </w:r>
          </w:p>
        </w:tc>
      </w:tr>
      <w:tr w:rsidR="00020E4F" w14:paraId="5B758BDA" w14:textId="77777777" w:rsidTr="00020E4F">
        <w:tc>
          <w:tcPr>
            <w:tcW w:w="1999" w:type="dxa"/>
            <w:vAlign w:val="center"/>
            <w:hideMark/>
          </w:tcPr>
          <w:p w14:paraId="63F32FC2" w14:textId="77777777" w:rsidR="00020E4F" w:rsidRDefault="00020E4F">
            <w:pPr>
              <w:pStyle w:val="bmdsTblBody"/>
            </w:pPr>
            <w:proofErr w:type="spellStart"/>
            <w:r>
              <w:rPr>
                <w:b/>
              </w:rPr>
              <w:t>crot</w:t>
            </w:r>
            <w:proofErr w:type="spellEnd"/>
          </w:p>
        </w:tc>
        <w:tc>
          <w:tcPr>
            <w:tcW w:w="1720" w:type="dxa"/>
            <w:vAlign w:val="center"/>
            <w:hideMark/>
          </w:tcPr>
          <w:p w14:paraId="037C05D7" w14:textId="77777777" w:rsidR="00020E4F" w:rsidRDefault="00020E4F">
            <w:pPr>
              <w:pStyle w:val="bmdsTblBody"/>
              <w:jc w:val="center"/>
            </w:pPr>
            <w:r>
              <w:rPr>
                <w:sz w:val="16"/>
              </w:rPr>
              <w:t>83842</w:t>
            </w:r>
          </w:p>
        </w:tc>
        <w:tc>
          <w:tcPr>
            <w:tcW w:w="1585" w:type="dxa"/>
            <w:vAlign w:val="center"/>
            <w:hideMark/>
          </w:tcPr>
          <w:p w14:paraId="47F8ACD9" w14:textId="77777777" w:rsidR="00020E4F" w:rsidRDefault="00020E4F">
            <w:pPr>
              <w:pStyle w:val="bmdsTblBody"/>
              <w:jc w:val="center"/>
            </w:pPr>
            <w:r>
              <w:rPr>
                <w:sz w:val="16"/>
              </w:rPr>
              <w:t>CROT_8384</w:t>
            </w:r>
          </w:p>
        </w:tc>
        <w:tc>
          <w:tcPr>
            <w:tcW w:w="1336" w:type="dxa"/>
            <w:vAlign w:val="center"/>
            <w:hideMark/>
          </w:tcPr>
          <w:p w14:paraId="2A0BCCF6" w14:textId="77777777" w:rsidR="00020E4F" w:rsidRDefault="00020E4F">
            <w:pPr>
              <w:pStyle w:val="bmdsTblBody"/>
              <w:jc w:val="center"/>
            </w:pPr>
            <w:r>
              <w:rPr>
                <w:sz w:val="16"/>
              </w:rPr>
              <w:t>1.411 (1.092-1.919)</w:t>
            </w:r>
          </w:p>
        </w:tc>
        <w:tc>
          <w:tcPr>
            <w:tcW w:w="1337" w:type="dxa"/>
            <w:vAlign w:val="center"/>
            <w:hideMark/>
          </w:tcPr>
          <w:p w14:paraId="21C2C1D3" w14:textId="77777777" w:rsidR="00020E4F" w:rsidRDefault="00020E4F">
            <w:pPr>
              <w:pStyle w:val="bmdsTblBody"/>
              <w:jc w:val="center"/>
            </w:pPr>
            <w:r>
              <w:rPr>
                <w:sz w:val="16"/>
              </w:rPr>
              <w:t>7.5</w:t>
            </w:r>
          </w:p>
        </w:tc>
        <w:tc>
          <w:tcPr>
            <w:tcW w:w="1383" w:type="dxa"/>
            <w:vAlign w:val="center"/>
            <w:hideMark/>
          </w:tcPr>
          <w:p w14:paraId="479287EE" w14:textId="77777777" w:rsidR="00020E4F" w:rsidRDefault="00020E4F">
            <w:pPr>
              <w:pStyle w:val="bmdsTblBody"/>
              <w:jc w:val="center"/>
            </w:pPr>
            <w:r>
              <w:rPr>
                <w:sz w:val="16"/>
              </w:rPr>
              <w:t>UP</w:t>
            </w:r>
          </w:p>
        </w:tc>
      </w:tr>
      <w:tr w:rsidR="00020E4F" w14:paraId="207C9F43" w14:textId="77777777" w:rsidTr="00020E4F">
        <w:tc>
          <w:tcPr>
            <w:tcW w:w="1999" w:type="dxa"/>
            <w:vAlign w:val="center"/>
            <w:hideMark/>
          </w:tcPr>
          <w:p w14:paraId="47831498" w14:textId="77777777" w:rsidR="00020E4F" w:rsidRDefault="00020E4F">
            <w:pPr>
              <w:pStyle w:val="bmdsTblBody"/>
            </w:pPr>
            <w:proofErr w:type="spellStart"/>
            <w:r>
              <w:rPr>
                <w:b/>
              </w:rPr>
              <w:t>acaa1a</w:t>
            </w:r>
            <w:proofErr w:type="spellEnd"/>
          </w:p>
        </w:tc>
        <w:tc>
          <w:tcPr>
            <w:tcW w:w="1720" w:type="dxa"/>
            <w:vAlign w:val="center"/>
            <w:hideMark/>
          </w:tcPr>
          <w:p w14:paraId="0AB9E25D" w14:textId="77777777" w:rsidR="00020E4F" w:rsidRDefault="00020E4F">
            <w:pPr>
              <w:pStyle w:val="bmdsTblBody"/>
              <w:jc w:val="center"/>
            </w:pPr>
            <w:r>
              <w:rPr>
                <w:sz w:val="16"/>
              </w:rPr>
              <w:t>24157</w:t>
            </w:r>
          </w:p>
        </w:tc>
        <w:tc>
          <w:tcPr>
            <w:tcW w:w="1585" w:type="dxa"/>
            <w:vAlign w:val="center"/>
            <w:hideMark/>
          </w:tcPr>
          <w:p w14:paraId="182DC6C8" w14:textId="77777777" w:rsidR="00020E4F" w:rsidRDefault="00020E4F">
            <w:pPr>
              <w:pStyle w:val="bmdsTblBody"/>
              <w:jc w:val="center"/>
            </w:pPr>
            <w:r>
              <w:rPr>
                <w:sz w:val="16"/>
              </w:rPr>
              <w:t>ACAA1A_7954</w:t>
            </w:r>
          </w:p>
        </w:tc>
        <w:tc>
          <w:tcPr>
            <w:tcW w:w="1336" w:type="dxa"/>
            <w:vAlign w:val="center"/>
            <w:hideMark/>
          </w:tcPr>
          <w:p w14:paraId="2F2F9497" w14:textId="77777777" w:rsidR="00020E4F" w:rsidRDefault="00020E4F">
            <w:pPr>
              <w:pStyle w:val="bmdsTblBody"/>
              <w:jc w:val="center"/>
            </w:pPr>
            <w:r>
              <w:rPr>
                <w:sz w:val="16"/>
              </w:rPr>
              <w:t>1.874 (1.524-2.760)</w:t>
            </w:r>
          </w:p>
        </w:tc>
        <w:tc>
          <w:tcPr>
            <w:tcW w:w="1337" w:type="dxa"/>
            <w:vAlign w:val="center"/>
            <w:hideMark/>
          </w:tcPr>
          <w:p w14:paraId="4F642598" w14:textId="77777777" w:rsidR="00020E4F" w:rsidRDefault="00020E4F">
            <w:pPr>
              <w:pStyle w:val="bmdsTblBody"/>
              <w:jc w:val="center"/>
            </w:pPr>
            <w:r>
              <w:rPr>
                <w:sz w:val="16"/>
              </w:rPr>
              <w:t>39.0</w:t>
            </w:r>
          </w:p>
        </w:tc>
        <w:tc>
          <w:tcPr>
            <w:tcW w:w="1383" w:type="dxa"/>
            <w:vAlign w:val="center"/>
            <w:hideMark/>
          </w:tcPr>
          <w:p w14:paraId="50030FA9" w14:textId="77777777" w:rsidR="00020E4F" w:rsidRDefault="00020E4F">
            <w:pPr>
              <w:pStyle w:val="bmdsTblBody"/>
              <w:jc w:val="center"/>
            </w:pPr>
            <w:r>
              <w:rPr>
                <w:sz w:val="16"/>
              </w:rPr>
              <w:t>UP</w:t>
            </w:r>
          </w:p>
        </w:tc>
      </w:tr>
      <w:tr w:rsidR="00020E4F" w14:paraId="671C5E9A" w14:textId="77777777" w:rsidTr="00020E4F">
        <w:tc>
          <w:tcPr>
            <w:tcW w:w="1999" w:type="dxa"/>
            <w:tcBorders>
              <w:top w:val="nil"/>
              <w:left w:val="nil"/>
              <w:bottom w:val="single" w:sz="2" w:space="0" w:color="000000"/>
              <w:right w:val="nil"/>
            </w:tcBorders>
            <w:vAlign w:val="center"/>
            <w:hideMark/>
          </w:tcPr>
          <w:p w14:paraId="67F69126" w14:textId="77777777" w:rsidR="00020E4F" w:rsidRDefault="00020E4F">
            <w:pPr>
              <w:pStyle w:val="bmdsTblBody"/>
            </w:pPr>
            <w:proofErr w:type="spellStart"/>
            <w:r>
              <w:rPr>
                <w:b/>
              </w:rPr>
              <w:t>acaa1b</w:t>
            </w:r>
            <w:proofErr w:type="spellEnd"/>
          </w:p>
        </w:tc>
        <w:tc>
          <w:tcPr>
            <w:tcW w:w="1720" w:type="dxa"/>
            <w:tcBorders>
              <w:top w:val="nil"/>
              <w:left w:val="nil"/>
              <w:bottom w:val="single" w:sz="2" w:space="0" w:color="000000"/>
              <w:right w:val="nil"/>
            </w:tcBorders>
            <w:vAlign w:val="center"/>
            <w:hideMark/>
          </w:tcPr>
          <w:p w14:paraId="792B4767" w14:textId="77777777" w:rsidR="00020E4F" w:rsidRDefault="00020E4F">
            <w:pPr>
              <w:pStyle w:val="bmdsTblBody"/>
              <w:jc w:val="center"/>
            </w:pPr>
            <w:r>
              <w:rPr>
                <w:sz w:val="16"/>
              </w:rPr>
              <w:t>501072</w:t>
            </w:r>
          </w:p>
        </w:tc>
        <w:tc>
          <w:tcPr>
            <w:tcW w:w="1585" w:type="dxa"/>
            <w:tcBorders>
              <w:top w:val="nil"/>
              <w:left w:val="nil"/>
              <w:bottom w:val="single" w:sz="2" w:space="0" w:color="000000"/>
              <w:right w:val="nil"/>
            </w:tcBorders>
            <w:vAlign w:val="center"/>
            <w:hideMark/>
          </w:tcPr>
          <w:p w14:paraId="0C5F2A24" w14:textId="77777777" w:rsidR="00020E4F" w:rsidRDefault="00020E4F">
            <w:pPr>
              <w:pStyle w:val="bmdsTblBody"/>
              <w:jc w:val="center"/>
            </w:pPr>
            <w:r>
              <w:rPr>
                <w:sz w:val="16"/>
              </w:rPr>
              <w:t>ACAA1A_7954</w:t>
            </w:r>
          </w:p>
        </w:tc>
        <w:tc>
          <w:tcPr>
            <w:tcW w:w="1336" w:type="dxa"/>
            <w:tcBorders>
              <w:top w:val="nil"/>
              <w:left w:val="nil"/>
              <w:bottom w:val="single" w:sz="2" w:space="0" w:color="000000"/>
              <w:right w:val="nil"/>
            </w:tcBorders>
            <w:vAlign w:val="center"/>
            <w:hideMark/>
          </w:tcPr>
          <w:p w14:paraId="39E053F6" w14:textId="77777777" w:rsidR="00020E4F" w:rsidRDefault="00020E4F">
            <w:pPr>
              <w:pStyle w:val="bmdsTblBody"/>
              <w:jc w:val="center"/>
            </w:pPr>
            <w:r>
              <w:rPr>
                <w:sz w:val="16"/>
              </w:rPr>
              <w:t>1.874 (1.524-2.760)</w:t>
            </w:r>
          </w:p>
        </w:tc>
        <w:tc>
          <w:tcPr>
            <w:tcW w:w="1337" w:type="dxa"/>
            <w:tcBorders>
              <w:top w:val="nil"/>
              <w:left w:val="nil"/>
              <w:bottom w:val="single" w:sz="2" w:space="0" w:color="000000"/>
              <w:right w:val="nil"/>
            </w:tcBorders>
            <w:vAlign w:val="center"/>
            <w:hideMark/>
          </w:tcPr>
          <w:p w14:paraId="6E01D6A3" w14:textId="77777777" w:rsidR="00020E4F" w:rsidRDefault="00020E4F">
            <w:pPr>
              <w:pStyle w:val="bmdsTblBody"/>
              <w:jc w:val="center"/>
            </w:pPr>
            <w:r>
              <w:rPr>
                <w:sz w:val="16"/>
              </w:rPr>
              <w:t>39.0</w:t>
            </w:r>
          </w:p>
        </w:tc>
        <w:tc>
          <w:tcPr>
            <w:tcW w:w="1383" w:type="dxa"/>
            <w:tcBorders>
              <w:top w:val="nil"/>
              <w:left w:val="nil"/>
              <w:bottom w:val="single" w:sz="2" w:space="0" w:color="000000"/>
              <w:right w:val="nil"/>
            </w:tcBorders>
            <w:vAlign w:val="center"/>
            <w:hideMark/>
          </w:tcPr>
          <w:p w14:paraId="579415FD" w14:textId="77777777" w:rsidR="00020E4F" w:rsidRDefault="00020E4F">
            <w:pPr>
              <w:pStyle w:val="bmdsTblBody"/>
              <w:jc w:val="center"/>
            </w:pPr>
            <w:r>
              <w:rPr>
                <w:sz w:val="16"/>
              </w:rPr>
              <w:t>UP</w:t>
            </w:r>
          </w:p>
        </w:tc>
      </w:tr>
    </w:tbl>
    <w:p w14:paraId="46663607" w14:textId="77777777" w:rsidR="00020E4F" w:rsidRDefault="00020E4F" w:rsidP="00020E4F">
      <w:pPr>
        <w:pStyle w:val="bmdsTblFootnote"/>
        <w:rPr>
          <w:rFonts w:cs="Times New Roman"/>
          <w:color w:val="000000" w:themeColor="text1"/>
          <w:szCs w:val="18"/>
        </w:rPr>
      </w:pPr>
      <w:r>
        <w:rPr>
          <w:rFonts w:cs="Times New Roman"/>
          <w:color w:val="000000" w:themeColor="text1"/>
          <w:szCs w:val="18"/>
        </w:rPr>
        <w:t xml:space="preserve">Descriptions of orthologous human genes are shown due to the increased detail that is available in public resources such as </w:t>
      </w:r>
      <w:proofErr w:type="spellStart"/>
      <w:r>
        <w:rPr>
          <w:rFonts w:cs="Times New Roman"/>
          <w:color w:val="000000" w:themeColor="text1"/>
          <w:szCs w:val="18"/>
        </w:rPr>
        <w:t>UniprotKB</w:t>
      </w:r>
      <w:proofErr w:type="spellEnd"/>
      <w:r>
        <w:rPr>
          <w:rFonts w:cs="Times New Roman"/>
          <w:color w:val="000000" w:themeColor="text1"/>
          <w:szCs w:val="18"/>
        </w:rPr>
        <w:t xml:space="preserve"> (</w:t>
      </w:r>
      <w:hyperlink r:id="rId4" w:history="1">
        <w:r>
          <w:rPr>
            <w:rStyle w:val="Hyperlink"/>
            <w:rFonts w:cs="Times New Roman"/>
            <w:szCs w:val="18"/>
          </w:rPr>
          <w:t>https://www.uniprot.org/uniprot/</w:t>
        </w:r>
      </w:hyperlink>
      <w:r>
        <w:rPr>
          <w:rFonts w:cs="Times New Roman"/>
          <w:color w:val="000000" w:themeColor="text1"/>
          <w:szCs w:val="18"/>
        </w:rPr>
        <w:t>) and Entrez Gene (</w:t>
      </w:r>
      <w:hyperlink r:id="rId5" w:history="1">
        <w:r>
          <w:rPr>
            <w:rStyle w:val="Hyperlink"/>
            <w:rFonts w:cs="Times New Roman"/>
            <w:szCs w:val="18"/>
          </w:rPr>
          <w:t>https://www.ncbi.nlm.nih.gov/gene/</w:t>
        </w:r>
      </w:hyperlink>
      <w:r>
        <w:rPr>
          <w:rFonts w:cs="Times New Roman"/>
          <w:color w:val="000000" w:themeColor="text1"/>
          <w:szCs w:val="18"/>
        </w:rPr>
        <w:t xml:space="preserve">). Human </w:t>
      </w:r>
      <w:proofErr w:type="spellStart"/>
      <w:r>
        <w:rPr>
          <w:rFonts w:cs="Times New Roman"/>
          <w:color w:val="000000" w:themeColor="text1"/>
          <w:szCs w:val="18"/>
        </w:rPr>
        <w:t>UniprotKB</w:t>
      </w:r>
      <w:proofErr w:type="spellEnd"/>
      <w:r>
        <w:rPr>
          <w:rFonts w:cs="Times New Roman"/>
          <w:color w:val="000000" w:themeColor="text1"/>
          <w:szCs w:val="18"/>
        </w:rPr>
        <w:t xml:space="preserve"> was used as primary resource due to the greater breadth of annotation and depth of functional detail that is provided. Rat </w:t>
      </w:r>
      <w:proofErr w:type="spellStart"/>
      <w:r>
        <w:rPr>
          <w:rFonts w:cs="Times New Roman"/>
          <w:color w:val="000000" w:themeColor="text1"/>
          <w:szCs w:val="18"/>
        </w:rPr>
        <w:t>UniprotKB</w:t>
      </w:r>
      <w:proofErr w:type="spellEnd"/>
      <w:r>
        <w:rPr>
          <w:rFonts w:cs="Times New Roman"/>
          <w:color w:val="000000" w:themeColor="text1"/>
          <w:szCs w:val="18"/>
        </w:rPr>
        <w:t xml:space="preserve"> was used as the second resource if the primary source did not provide a detailed description of function. Human Entrez gene summary was used as third resource.  Rat Entrez gene summary was used as the fourth resource.</w:t>
      </w:r>
    </w:p>
    <w:p w14:paraId="5A337C97" w14:textId="71904F3C" w:rsidR="00020E4F" w:rsidRDefault="00020E4F" w:rsidP="00020E4F">
      <w:pPr>
        <w:pStyle w:val="bmdsTblFootnote"/>
      </w:pPr>
      <w:r>
        <w:rPr>
          <w:b/>
        </w:rPr>
        <w:t>Gene definition version:</w:t>
      </w:r>
      <w:r>
        <w:rPr>
          <w:i/>
        </w:rPr>
        <w:t xml:space="preserve"> </w:t>
      </w:r>
      <w:r w:rsidR="00F30E68" w:rsidRPr="00F30E68">
        <w:rPr>
          <w:iCs/>
        </w:rPr>
        <w:t xml:space="preserve">https://cebs.niehs.nih.gov/cebs/study/002-00600-0002-000-0 </w:t>
      </w:r>
      <w:proofErr w:type="spellStart"/>
      <w:r w:rsidR="00EA52E8">
        <w:rPr>
          <w:iCs/>
        </w:rPr>
        <w:t>V05282021</w:t>
      </w:r>
      <w:proofErr w:type="spellEnd"/>
    </w:p>
    <w:p w14:paraId="043F82BA" w14:textId="77777777" w:rsidR="00020E4F" w:rsidRDefault="00020E4F" w:rsidP="00020E4F">
      <w:pPr>
        <w:pStyle w:val="bmdsTblFootnote"/>
      </w:pPr>
      <w:proofErr w:type="spellStart"/>
      <w:r>
        <w:rPr>
          <w:b/>
        </w:rPr>
        <w:t>Myc</w:t>
      </w:r>
      <w:proofErr w:type="spellEnd"/>
      <w:r>
        <w:rPr>
          <w:b/>
        </w:rPr>
        <w:t>:</w:t>
      </w:r>
      <w:r>
        <w:rPr>
          <w:i/>
        </w:rPr>
        <w:t xml:space="preserve"> Human </w:t>
      </w:r>
      <w:proofErr w:type="spellStart"/>
      <w:r>
        <w:rPr>
          <w:i/>
        </w:rPr>
        <w:t>Uniprot</w:t>
      </w:r>
      <w:proofErr w:type="spellEnd"/>
      <w:r>
        <w:rPr>
          <w:i/>
        </w:rPr>
        <w:t xml:space="preserve"> function (Human MYC):</w:t>
      </w:r>
      <w:r>
        <w:t xml:space="preserve"> Transcription factor that binds DNA in a non-specific manner, yet also specifically recognizes the core sequence 5'-CAC[GA]TG-3'. Activates the transcription of growth-related genes. Binds to the VEGFA promoter, promoting VEGFA production and subsequent sprouting angiogenesis (</w:t>
      </w:r>
      <w:proofErr w:type="spellStart"/>
      <w:r>
        <w:t>PubMed24940000</w:t>
      </w:r>
      <w:proofErr w:type="spellEnd"/>
      <w:r>
        <w:t xml:space="preserve">). </w:t>
      </w:r>
      <w:proofErr w:type="gramStart"/>
      <w:r>
        <w:t>Regulator of somatic reprogramming,</w:t>
      </w:r>
      <w:proofErr w:type="gramEnd"/>
      <w:r>
        <w:t xml:space="preserve"> controls self-renewal of embryonic stem cells. Functions with TAF6L to activate target gene expression through RNA polymerase II pause release (By similarity). {</w:t>
      </w:r>
      <w:proofErr w:type="spellStart"/>
      <w:r>
        <w:t>ECO0000250|UniProtKBP01108</w:t>
      </w:r>
      <w:proofErr w:type="spellEnd"/>
      <w:r>
        <w:t xml:space="preserve">, </w:t>
      </w:r>
      <w:proofErr w:type="spellStart"/>
      <w:r>
        <w:t>ECO0000269|PubMed24940000</w:t>
      </w:r>
      <w:proofErr w:type="spellEnd"/>
      <w:r>
        <w:t xml:space="preserve">, </w:t>
      </w:r>
      <w:proofErr w:type="spellStart"/>
      <w:r>
        <w:t>ECO0000269|PubMed25956029</w:t>
      </w:r>
      <w:proofErr w:type="spellEnd"/>
      <w:r>
        <w:t>}.</w:t>
      </w:r>
    </w:p>
    <w:p w14:paraId="1386D331" w14:textId="77777777" w:rsidR="00020E4F" w:rsidRDefault="00020E4F" w:rsidP="00020E4F">
      <w:pPr>
        <w:pStyle w:val="bmdsTblFootnote"/>
      </w:pPr>
      <w:proofErr w:type="spellStart"/>
      <w:r>
        <w:rPr>
          <w:b/>
        </w:rPr>
        <w:t>Zfp36</w:t>
      </w:r>
      <w:proofErr w:type="spellEnd"/>
      <w:r>
        <w:rPr>
          <w:b/>
        </w:rPr>
        <w:t>:</w:t>
      </w:r>
      <w:r>
        <w:rPr>
          <w:i/>
        </w:rPr>
        <w:t xml:space="preserve"> Human </w:t>
      </w:r>
      <w:proofErr w:type="spellStart"/>
      <w:r>
        <w:rPr>
          <w:i/>
        </w:rPr>
        <w:t>Uniprot</w:t>
      </w:r>
      <w:proofErr w:type="spellEnd"/>
      <w:r>
        <w:rPr>
          <w:i/>
        </w:rPr>
        <w:t xml:space="preserve"> function (Human ZFP36):</w:t>
      </w:r>
      <w:r>
        <w:t xml:space="preserve"> Zinc-finger RNA-binding protein that destabilizes several cytoplasmic AU-rich element (ARE)-containing mRNA transcripts by promoting their poly(A) tail removal or </w:t>
      </w:r>
      <w:proofErr w:type="spellStart"/>
      <w:r>
        <w:t>deadenylation</w:t>
      </w:r>
      <w:proofErr w:type="spellEnd"/>
      <w:r>
        <w:t>, and hence provide a mechanism for attenuating protein synthesis (</w:t>
      </w:r>
      <w:proofErr w:type="spellStart"/>
      <w:r>
        <w:t>PubMed9703499</w:t>
      </w:r>
      <w:proofErr w:type="spellEnd"/>
      <w:r>
        <w:t xml:space="preserve">, </w:t>
      </w:r>
      <w:proofErr w:type="spellStart"/>
      <w:r>
        <w:t>PubMed10330172</w:t>
      </w:r>
      <w:proofErr w:type="spellEnd"/>
      <w:r>
        <w:t xml:space="preserve">, </w:t>
      </w:r>
      <w:proofErr w:type="spellStart"/>
      <w:r>
        <w:t>PubMed10751406</w:t>
      </w:r>
      <w:proofErr w:type="spellEnd"/>
      <w:r>
        <w:t xml:space="preserve">, </w:t>
      </w:r>
      <w:proofErr w:type="spellStart"/>
      <w:r>
        <w:t>PubMed11279239</w:t>
      </w:r>
      <w:proofErr w:type="spellEnd"/>
      <w:r>
        <w:t xml:space="preserve">, </w:t>
      </w:r>
      <w:proofErr w:type="spellStart"/>
      <w:r>
        <w:t>PubMed12115244</w:t>
      </w:r>
      <w:proofErr w:type="spellEnd"/>
      <w:r>
        <w:t xml:space="preserve">, </w:t>
      </w:r>
      <w:proofErr w:type="spellStart"/>
      <w:r>
        <w:t>PubMed12748283</w:t>
      </w:r>
      <w:proofErr w:type="spellEnd"/>
      <w:r>
        <w:t xml:space="preserve">, </w:t>
      </w:r>
      <w:proofErr w:type="spellStart"/>
      <w:r>
        <w:t>PubMed15187101</w:t>
      </w:r>
      <w:proofErr w:type="spellEnd"/>
      <w:r>
        <w:t xml:space="preserve">, </w:t>
      </w:r>
      <w:proofErr w:type="spellStart"/>
      <w:r>
        <w:t>PubMed15634918</w:t>
      </w:r>
      <w:proofErr w:type="spellEnd"/>
      <w:r>
        <w:t xml:space="preserve">, </w:t>
      </w:r>
      <w:proofErr w:type="spellStart"/>
      <w:r>
        <w:t>PubMed17030620</w:t>
      </w:r>
      <w:proofErr w:type="spellEnd"/>
      <w:r>
        <w:t xml:space="preserve">, </w:t>
      </w:r>
      <w:proofErr w:type="spellStart"/>
      <w:r>
        <w:t>PubMed16702957</w:t>
      </w:r>
      <w:proofErr w:type="spellEnd"/>
      <w:r>
        <w:t xml:space="preserve">, </w:t>
      </w:r>
      <w:proofErr w:type="spellStart"/>
      <w:r>
        <w:t>PubMed20702587</w:t>
      </w:r>
      <w:proofErr w:type="spellEnd"/>
      <w:r>
        <w:t xml:space="preserve">, </w:t>
      </w:r>
      <w:proofErr w:type="spellStart"/>
      <w:r>
        <w:t>PubMed20221403</w:t>
      </w:r>
      <w:proofErr w:type="spellEnd"/>
      <w:r>
        <w:t xml:space="preserve">, </w:t>
      </w:r>
      <w:proofErr w:type="spellStart"/>
      <w:r>
        <w:t>PubMed21775632</w:t>
      </w:r>
      <w:proofErr w:type="spellEnd"/>
      <w:r>
        <w:t xml:space="preserve">, </w:t>
      </w:r>
      <w:proofErr w:type="spellStart"/>
      <w:r>
        <w:t>PubMed27193233</w:t>
      </w:r>
      <w:proofErr w:type="spellEnd"/>
      <w:r>
        <w:t xml:space="preserve">, </w:t>
      </w:r>
      <w:proofErr w:type="spellStart"/>
      <w:r>
        <w:t>PubMed23644599</w:t>
      </w:r>
      <w:proofErr w:type="spellEnd"/>
      <w:r>
        <w:t xml:space="preserve">, </w:t>
      </w:r>
      <w:proofErr w:type="spellStart"/>
      <w:r>
        <w:t>PubMed25815583</w:t>
      </w:r>
      <w:proofErr w:type="spellEnd"/>
      <w:r>
        <w:t>). Acts as an 3'-untranslated region (UTR) ARE mRNA-binding adapter protein to communicate signaling events to the mRNA decay machinery (</w:t>
      </w:r>
      <w:proofErr w:type="spellStart"/>
      <w:r>
        <w:t>PubMed15687258</w:t>
      </w:r>
      <w:proofErr w:type="spellEnd"/>
      <w:r>
        <w:t xml:space="preserve">, </w:t>
      </w:r>
      <w:proofErr w:type="spellStart"/>
      <w:r>
        <w:t>PubMed23644599</w:t>
      </w:r>
      <w:proofErr w:type="spellEnd"/>
      <w:r>
        <w:t xml:space="preserve">). Recruits </w:t>
      </w:r>
      <w:proofErr w:type="spellStart"/>
      <w:r>
        <w:t>deadenylase</w:t>
      </w:r>
      <w:proofErr w:type="spellEnd"/>
      <w:r>
        <w:t xml:space="preserve"> CNOT7 (and probably the CCR4-NOT complex) via association with CNOT1, and hence promotes ARE-mediated mRNA </w:t>
      </w:r>
      <w:proofErr w:type="spellStart"/>
      <w:r>
        <w:t>deadenylation</w:t>
      </w:r>
      <w:proofErr w:type="spellEnd"/>
      <w:r>
        <w:t xml:space="preserve"> (</w:t>
      </w:r>
      <w:proofErr w:type="spellStart"/>
      <w:r>
        <w:t>PubMed23644599</w:t>
      </w:r>
      <w:proofErr w:type="spellEnd"/>
      <w:r>
        <w:t>). Functions also by recruiting components of the cytoplasmic RNA decay machinery to the bound ARE-containing mRNAs (</w:t>
      </w:r>
      <w:proofErr w:type="spellStart"/>
      <w:r>
        <w:t>PubMed11719186</w:t>
      </w:r>
      <w:proofErr w:type="spellEnd"/>
      <w:r>
        <w:t xml:space="preserve">, </w:t>
      </w:r>
      <w:proofErr w:type="spellStart"/>
      <w:r>
        <w:t>PubMed12748283</w:t>
      </w:r>
      <w:proofErr w:type="spellEnd"/>
      <w:r>
        <w:t xml:space="preserve">, </w:t>
      </w:r>
      <w:proofErr w:type="spellStart"/>
      <w:r>
        <w:t>PubMed15687258</w:t>
      </w:r>
      <w:proofErr w:type="spellEnd"/>
      <w:r>
        <w:t xml:space="preserve">, </w:t>
      </w:r>
      <w:proofErr w:type="spellStart"/>
      <w:r>
        <w:t>PubMed16364915</w:t>
      </w:r>
      <w:proofErr w:type="spellEnd"/>
      <w:r>
        <w:t>). Self regulates by destabilizing its own mRNA (</w:t>
      </w:r>
      <w:proofErr w:type="spellStart"/>
      <w:r>
        <w:t>PubMed15187101</w:t>
      </w:r>
      <w:proofErr w:type="spellEnd"/>
      <w:r>
        <w:t>). Binds to 3'-UTR ARE of numerous mRNAs and of its own mRNA (</w:t>
      </w:r>
      <w:proofErr w:type="spellStart"/>
      <w:r>
        <w:t>PubMed10330172</w:t>
      </w:r>
      <w:proofErr w:type="spellEnd"/>
      <w:r>
        <w:t xml:space="preserve">, </w:t>
      </w:r>
      <w:proofErr w:type="spellStart"/>
      <w:r>
        <w:t>PubMed10751406</w:t>
      </w:r>
      <w:proofErr w:type="spellEnd"/>
      <w:r>
        <w:t xml:space="preserve">, </w:t>
      </w:r>
      <w:proofErr w:type="spellStart"/>
      <w:r>
        <w:t>PubMed12115244</w:t>
      </w:r>
      <w:proofErr w:type="spellEnd"/>
      <w:r>
        <w:t xml:space="preserve">, </w:t>
      </w:r>
      <w:proofErr w:type="spellStart"/>
      <w:r>
        <w:t>PubMed15187101</w:t>
      </w:r>
      <w:proofErr w:type="spellEnd"/>
      <w:r>
        <w:t xml:space="preserve">, </w:t>
      </w:r>
      <w:proofErr w:type="spellStart"/>
      <w:r>
        <w:t>PubMed15634918</w:t>
      </w:r>
      <w:proofErr w:type="spellEnd"/>
      <w:r>
        <w:t xml:space="preserve">, </w:t>
      </w:r>
      <w:proofErr w:type="spellStart"/>
      <w:r>
        <w:t>PubMed17030620</w:t>
      </w:r>
      <w:proofErr w:type="spellEnd"/>
      <w:r>
        <w:t xml:space="preserve">, </w:t>
      </w:r>
      <w:proofErr w:type="spellStart"/>
      <w:r>
        <w:t>PubMed16702957</w:t>
      </w:r>
      <w:proofErr w:type="spellEnd"/>
      <w:r>
        <w:t xml:space="preserve">, </w:t>
      </w:r>
      <w:proofErr w:type="spellStart"/>
      <w:r>
        <w:t>PubMed19188452</w:t>
      </w:r>
      <w:proofErr w:type="spellEnd"/>
      <w:r>
        <w:t xml:space="preserve">, </w:t>
      </w:r>
      <w:proofErr w:type="spellStart"/>
      <w:r>
        <w:t>PubMed20702587</w:t>
      </w:r>
      <w:proofErr w:type="spellEnd"/>
      <w:r>
        <w:t xml:space="preserve">, </w:t>
      </w:r>
      <w:proofErr w:type="spellStart"/>
      <w:r>
        <w:t>PubMed20221403</w:t>
      </w:r>
      <w:proofErr w:type="spellEnd"/>
      <w:r>
        <w:t xml:space="preserve">, </w:t>
      </w:r>
      <w:proofErr w:type="spellStart"/>
      <w:r>
        <w:t>PubMed21775632</w:t>
      </w:r>
      <w:proofErr w:type="spellEnd"/>
      <w:r>
        <w:t xml:space="preserve">, </w:t>
      </w:r>
      <w:proofErr w:type="spellStart"/>
      <w:r>
        <w:t>PubMed25815583</w:t>
      </w:r>
      <w:proofErr w:type="spellEnd"/>
      <w:r>
        <w:t xml:space="preserve">). Plays a role in anti-inflammatory responses; suppresses tumor necrosis factor (TNF)-alpha production by stimulating ARE-mediated TNF-alpha mRNA decay and several other inflammatory ARE-containing mRNAs in interferon (IFN)- and/or lipopolysaccharide (LPS)-induced macrophages (By similarity). </w:t>
      </w:r>
      <w:proofErr w:type="gramStart"/>
      <w:r>
        <w:t>Plays also</w:t>
      </w:r>
      <w:proofErr w:type="gramEnd"/>
      <w:r>
        <w:t xml:space="preserve"> a role in the regulation of dendritic cell maturation at the post-transcriptional level, and hence operates as part of a negative feedback loop to limit the inflammatory response (</w:t>
      </w:r>
      <w:proofErr w:type="spellStart"/>
      <w:r>
        <w:t>PubMed18367721</w:t>
      </w:r>
      <w:proofErr w:type="spellEnd"/>
      <w:r>
        <w:t>). Promotes ARE-mediated mRNA decay of hypoxia-inducible factor HIF1A mRNA during the response of endothelial cells to hypoxia (</w:t>
      </w:r>
      <w:proofErr w:type="spellStart"/>
      <w:r>
        <w:t>PubMed21775632</w:t>
      </w:r>
      <w:proofErr w:type="spellEnd"/>
      <w:r>
        <w:t>). Positively regulates early adipogenesis of preadipocytes by promoting ARE-mediated mRNA decay of immediate early genes (IEGs) (By similarity). Negatively regulates hematopoietic/erythroid cell differentiation by promoting ARE-mediated mRNA decay of the transcription factor STAT5B mRNA (</w:t>
      </w:r>
      <w:proofErr w:type="spellStart"/>
      <w:r>
        <w:t>PubMed20702587</w:t>
      </w:r>
      <w:proofErr w:type="spellEnd"/>
      <w:r>
        <w:t>). Plays a role in maintaining skeletal muscle satellite cell quiescence by promoting ARE-mediated mRNA decay of the myogenic determination factor MYOD1 mRNA (By similarity). Associates also with and regulates the expression of non-ARE-containing target mRNAs at the post-transcriptional level, such as MHC class I mRNAs (</w:t>
      </w:r>
      <w:proofErr w:type="spellStart"/>
      <w:r>
        <w:t>PubMed18367721</w:t>
      </w:r>
      <w:proofErr w:type="spellEnd"/>
      <w:r>
        <w:t xml:space="preserve">). Participates in association with </w:t>
      </w:r>
      <w:proofErr w:type="spellStart"/>
      <w:r>
        <w:t>argonaute</w:t>
      </w:r>
      <w:proofErr w:type="spellEnd"/>
      <w:r>
        <w:t xml:space="preserve"> RISC catalytic components in the ARE-mediated mRNA decay mechanism; assists microRNA (miRNA) targeting ARE-containing mRNAs (</w:t>
      </w:r>
      <w:proofErr w:type="spellStart"/>
      <w:r>
        <w:t>PubMed15766526</w:t>
      </w:r>
      <w:proofErr w:type="spellEnd"/>
      <w:r>
        <w:t xml:space="preserve">). May also play a role in the regulation of cytoplasmic mRNA </w:t>
      </w:r>
      <w:proofErr w:type="spellStart"/>
      <w:r>
        <w:t>decapping</w:t>
      </w:r>
      <w:proofErr w:type="spellEnd"/>
      <w:r>
        <w:t xml:space="preserve">; enhances </w:t>
      </w:r>
      <w:proofErr w:type="spellStart"/>
      <w:r>
        <w:t>decapping</w:t>
      </w:r>
      <w:proofErr w:type="spellEnd"/>
      <w:r>
        <w:t xml:space="preserve"> of ARE-containing RNAs, in vitro (</w:t>
      </w:r>
      <w:proofErr w:type="spellStart"/>
      <w:r>
        <w:t>PubMed16364915</w:t>
      </w:r>
      <w:proofErr w:type="spellEnd"/>
      <w:r>
        <w:t>). Involved in the delivery of target ARE-mRNAs to processing bodies (PBs) (</w:t>
      </w:r>
      <w:proofErr w:type="spellStart"/>
      <w:r>
        <w:t>PubMed17369404</w:t>
      </w:r>
      <w:proofErr w:type="spellEnd"/>
      <w:r>
        <w:t xml:space="preserve">). In addition to its cytosolic </w:t>
      </w:r>
      <w:r>
        <w:lastRenderedPageBreak/>
        <w:t xml:space="preserve">mRNA-decay function, affects nuclear pre-mRNA processing (By similarity). Negatively regulates nuclear poly(A)-binding protein PABPN1-stimulated polyadenylation activity on ARE-containing pre-mRNA during LPS-stimulated macrophages (By similarity). Also involved in the regulation of stress granule (SG) and P-body (PB) formation and fusion (By similarity). Plays a role in the regulation of keratinocyte proliferation, </w:t>
      </w:r>
      <w:proofErr w:type="gramStart"/>
      <w:r>
        <w:t>differentiation</w:t>
      </w:r>
      <w:proofErr w:type="gramEnd"/>
      <w:r>
        <w:t xml:space="preserve"> and apoptosis (</w:t>
      </w:r>
      <w:proofErr w:type="spellStart"/>
      <w:r>
        <w:t>PubMed27182009</w:t>
      </w:r>
      <w:proofErr w:type="spellEnd"/>
      <w:r>
        <w:t>). Plays a role as a tumor suppressor by inhibiting cell proliferation in breast cancer cells (</w:t>
      </w:r>
      <w:proofErr w:type="spellStart"/>
      <w:r>
        <w:t>PubMed26926077</w:t>
      </w:r>
      <w:proofErr w:type="spellEnd"/>
      <w:r>
        <w:t>). {</w:t>
      </w:r>
      <w:proofErr w:type="spellStart"/>
      <w:r>
        <w:t>ECO0000250|UniProtKBP22893</w:t>
      </w:r>
      <w:proofErr w:type="spellEnd"/>
      <w:r>
        <w:t xml:space="preserve">, </w:t>
      </w:r>
      <w:proofErr w:type="spellStart"/>
      <w:r>
        <w:t>ECO0000269|PubMed10330172</w:t>
      </w:r>
      <w:proofErr w:type="spellEnd"/>
      <w:r>
        <w:t xml:space="preserve">, </w:t>
      </w:r>
      <w:proofErr w:type="spellStart"/>
      <w:r>
        <w:t>ECO0000269|PubMed10751406</w:t>
      </w:r>
      <w:proofErr w:type="spellEnd"/>
      <w:r>
        <w:t xml:space="preserve">, </w:t>
      </w:r>
      <w:proofErr w:type="spellStart"/>
      <w:r>
        <w:t>ECO0000269|PubMed11279239</w:t>
      </w:r>
      <w:proofErr w:type="spellEnd"/>
      <w:r>
        <w:t xml:space="preserve">, </w:t>
      </w:r>
      <w:proofErr w:type="spellStart"/>
      <w:r>
        <w:t>ECO0000269|PubMed11719186</w:t>
      </w:r>
      <w:proofErr w:type="spellEnd"/>
      <w:r>
        <w:t xml:space="preserve">, </w:t>
      </w:r>
      <w:proofErr w:type="spellStart"/>
      <w:r>
        <w:t>ECO0000269|PubMed12115244</w:t>
      </w:r>
      <w:proofErr w:type="spellEnd"/>
      <w:r>
        <w:t xml:space="preserve">, </w:t>
      </w:r>
      <w:proofErr w:type="spellStart"/>
      <w:r>
        <w:t>ECO0000269|PubMed12748283</w:t>
      </w:r>
      <w:proofErr w:type="spellEnd"/>
      <w:r>
        <w:t xml:space="preserve">, </w:t>
      </w:r>
      <w:proofErr w:type="spellStart"/>
      <w:r>
        <w:t>ECO0000269|PubMed15187101</w:t>
      </w:r>
      <w:proofErr w:type="spellEnd"/>
      <w:r>
        <w:t xml:space="preserve">, </w:t>
      </w:r>
      <w:proofErr w:type="spellStart"/>
      <w:r>
        <w:t>ECO0000269|PubMed15634918</w:t>
      </w:r>
      <w:proofErr w:type="spellEnd"/>
      <w:r>
        <w:t xml:space="preserve">, </w:t>
      </w:r>
      <w:proofErr w:type="spellStart"/>
      <w:r>
        <w:t>ECO0000269|PubMed15687258</w:t>
      </w:r>
      <w:proofErr w:type="spellEnd"/>
      <w:r>
        <w:t xml:space="preserve">, </w:t>
      </w:r>
      <w:proofErr w:type="spellStart"/>
      <w:r>
        <w:t>ECO0000269|PubMed15766526</w:t>
      </w:r>
      <w:proofErr w:type="spellEnd"/>
      <w:r>
        <w:t xml:space="preserve">, </w:t>
      </w:r>
      <w:proofErr w:type="spellStart"/>
      <w:r>
        <w:t>ECO0000269|PubMed16364915</w:t>
      </w:r>
      <w:proofErr w:type="spellEnd"/>
      <w:r>
        <w:t xml:space="preserve">, </w:t>
      </w:r>
      <w:proofErr w:type="spellStart"/>
      <w:r>
        <w:t>ECO0000269|PubMed16702957</w:t>
      </w:r>
      <w:proofErr w:type="spellEnd"/>
      <w:r>
        <w:t xml:space="preserve">, </w:t>
      </w:r>
      <w:proofErr w:type="spellStart"/>
      <w:r>
        <w:t>ECO0000269|PubMed17030620</w:t>
      </w:r>
      <w:proofErr w:type="spellEnd"/>
      <w:r>
        <w:t xml:space="preserve">, </w:t>
      </w:r>
      <w:proofErr w:type="spellStart"/>
      <w:r>
        <w:t>ECO0000269|PubMed17369404</w:t>
      </w:r>
      <w:proofErr w:type="spellEnd"/>
      <w:r>
        <w:t xml:space="preserve">, </w:t>
      </w:r>
      <w:proofErr w:type="spellStart"/>
      <w:r>
        <w:t>ECO0000269|PubMed18367721</w:t>
      </w:r>
      <w:proofErr w:type="spellEnd"/>
      <w:r>
        <w:t xml:space="preserve">, </w:t>
      </w:r>
      <w:proofErr w:type="spellStart"/>
      <w:r>
        <w:t>ECO0000269|PubMed19188452</w:t>
      </w:r>
      <w:proofErr w:type="spellEnd"/>
      <w:r>
        <w:t xml:space="preserve">, </w:t>
      </w:r>
      <w:proofErr w:type="spellStart"/>
      <w:r>
        <w:t>ECO0000269|PubMed20221403</w:t>
      </w:r>
      <w:proofErr w:type="spellEnd"/>
      <w:r>
        <w:t xml:space="preserve">, </w:t>
      </w:r>
      <w:proofErr w:type="spellStart"/>
      <w:r>
        <w:t>ECO0000269|PubMed20702587</w:t>
      </w:r>
      <w:proofErr w:type="spellEnd"/>
      <w:r>
        <w:t xml:space="preserve">, </w:t>
      </w:r>
      <w:proofErr w:type="spellStart"/>
      <w:r>
        <w:t>ECO0000269|PubMed21775632</w:t>
      </w:r>
      <w:proofErr w:type="spellEnd"/>
      <w:r>
        <w:t xml:space="preserve">, </w:t>
      </w:r>
      <w:proofErr w:type="spellStart"/>
      <w:r>
        <w:t>ECO0000269|PubMed23644599</w:t>
      </w:r>
      <w:proofErr w:type="spellEnd"/>
      <w:r>
        <w:t xml:space="preserve">, </w:t>
      </w:r>
      <w:proofErr w:type="spellStart"/>
      <w:r>
        <w:t>ECO0000269|PubMed25815583</w:t>
      </w:r>
      <w:proofErr w:type="spellEnd"/>
      <w:r>
        <w:t xml:space="preserve">, </w:t>
      </w:r>
      <w:proofErr w:type="spellStart"/>
      <w:r>
        <w:t>ECO0000269|PubMed26926077</w:t>
      </w:r>
      <w:proofErr w:type="spellEnd"/>
      <w:r>
        <w:t xml:space="preserve">, </w:t>
      </w:r>
      <w:proofErr w:type="spellStart"/>
      <w:r>
        <w:t>ECO0000269|PubMed27182009</w:t>
      </w:r>
      <w:proofErr w:type="spellEnd"/>
      <w:r>
        <w:t xml:space="preserve">, </w:t>
      </w:r>
      <w:proofErr w:type="spellStart"/>
      <w:r>
        <w:t>ECO0000269|PubMed27193233</w:t>
      </w:r>
      <w:proofErr w:type="spellEnd"/>
      <w:r>
        <w:t xml:space="preserve">, </w:t>
      </w:r>
      <w:proofErr w:type="spellStart"/>
      <w:r>
        <w:t>ECO0000269|PubMed9703499</w:t>
      </w:r>
      <w:proofErr w:type="spellEnd"/>
      <w:r>
        <w:t>}.; FUNCTION (Microbial infection) Negatively regulates HTLV-1 TAX-dependent transactivation of viral long terminal repeat (LTR) promoter. {</w:t>
      </w:r>
      <w:proofErr w:type="spellStart"/>
      <w:r>
        <w:t>ECO0000269|PubMed14679154</w:t>
      </w:r>
      <w:proofErr w:type="spellEnd"/>
      <w:r>
        <w:t>}.</w:t>
      </w:r>
    </w:p>
    <w:p w14:paraId="3660CC6D" w14:textId="77777777" w:rsidR="00020E4F" w:rsidRDefault="00020E4F" w:rsidP="00020E4F">
      <w:pPr>
        <w:pStyle w:val="bmdsTblFootnote"/>
      </w:pPr>
      <w:proofErr w:type="spellStart"/>
      <w:r>
        <w:rPr>
          <w:b/>
        </w:rPr>
        <w:t>Acot2</w:t>
      </w:r>
      <w:proofErr w:type="spellEnd"/>
      <w:r>
        <w:rPr>
          <w:b/>
        </w:rPr>
        <w:t>:</w:t>
      </w:r>
      <w:r>
        <w:rPr>
          <w:i/>
        </w:rPr>
        <w:t xml:space="preserve"> Human </w:t>
      </w:r>
      <w:proofErr w:type="spellStart"/>
      <w:r>
        <w:rPr>
          <w:i/>
        </w:rPr>
        <w:t>Uniprot</w:t>
      </w:r>
      <w:proofErr w:type="spellEnd"/>
      <w:r>
        <w:rPr>
          <w:i/>
        </w:rPr>
        <w:t xml:space="preserve"> function (Human ACOT2):</w:t>
      </w:r>
      <w:r>
        <w:t xml:space="preserve"> Acyl-CoA </w:t>
      </w:r>
      <w:proofErr w:type="spellStart"/>
      <w:r>
        <w:t>thioesterases</w:t>
      </w:r>
      <w:proofErr w:type="spellEnd"/>
      <w:r>
        <w:t xml:space="preserve"> are a group of enzymes that catalyze the hydrolysis of acyl-</w:t>
      </w:r>
      <w:proofErr w:type="spellStart"/>
      <w:r>
        <w:t>CoAs</w:t>
      </w:r>
      <w:proofErr w:type="spellEnd"/>
      <w:r>
        <w:t xml:space="preserve"> to the free fatty acid and coenzyme A (</w:t>
      </w:r>
      <w:proofErr w:type="spellStart"/>
      <w:r>
        <w:t>CoASH</w:t>
      </w:r>
      <w:proofErr w:type="spellEnd"/>
      <w:r>
        <w:t>), providing the potential to regulate intracellular levels of acyl-</w:t>
      </w:r>
      <w:proofErr w:type="spellStart"/>
      <w:r>
        <w:t>CoAs</w:t>
      </w:r>
      <w:proofErr w:type="spellEnd"/>
      <w:r>
        <w:t xml:space="preserve">, free fatty acids and </w:t>
      </w:r>
      <w:proofErr w:type="spellStart"/>
      <w:r>
        <w:t>CoASH</w:t>
      </w:r>
      <w:proofErr w:type="spellEnd"/>
      <w:r>
        <w:t xml:space="preserve"> (</w:t>
      </w:r>
      <w:proofErr w:type="spellStart"/>
      <w:r>
        <w:t>PubMed16940157</w:t>
      </w:r>
      <w:proofErr w:type="spellEnd"/>
      <w:r>
        <w:t xml:space="preserve">). Acyl-coenzyme A </w:t>
      </w:r>
      <w:proofErr w:type="spellStart"/>
      <w:r>
        <w:t>thioesterase</w:t>
      </w:r>
      <w:proofErr w:type="spellEnd"/>
      <w:r>
        <w:t xml:space="preserve"> 2/ACOT2 displays higher activity toward long chain acyl </w:t>
      </w:r>
      <w:proofErr w:type="spellStart"/>
      <w:r>
        <w:t>CoAs</w:t>
      </w:r>
      <w:proofErr w:type="spellEnd"/>
      <w:r>
        <w:t xml:space="preserve"> (C14-C20) (</w:t>
      </w:r>
      <w:proofErr w:type="spellStart"/>
      <w:r>
        <w:t>PubMed16940157</w:t>
      </w:r>
      <w:proofErr w:type="spellEnd"/>
      <w:r>
        <w:t xml:space="preserve">, </w:t>
      </w:r>
      <w:proofErr w:type="spellStart"/>
      <w:r>
        <w:t>PubMed10944470</w:t>
      </w:r>
      <w:proofErr w:type="spellEnd"/>
      <w:r>
        <w:t>). The enzyme is involved in enhancing the hepatic fatty acid oxidation in mitochondria (By similarity). {</w:t>
      </w:r>
      <w:proofErr w:type="spellStart"/>
      <w:r>
        <w:t>ECO0000250|UniProtKBQ9QYR9</w:t>
      </w:r>
      <w:proofErr w:type="spellEnd"/>
      <w:r>
        <w:t xml:space="preserve">, </w:t>
      </w:r>
      <w:proofErr w:type="spellStart"/>
      <w:r>
        <w:t>ECO0000269|PubMed10944470</w:t>
      </w:r>
      <w:proofErr w:type="spellEnd"/>
      <w:r>
        <w:t xml:space="preserve">, </w:t>
      </w:r>
      <w:proofErr w:type="spellStart"/>
      <w:r>
        <w:t>ECO0000269|PubMed16940157</w:t>
      </w:r>
      <w:proofErr w:type="spellEnd"/>
      <w:r>
        <w:t xml:space="preserve">, </w:t>
      </w:r>
      <w:proofErr w:type="spellStart"/>
      <w:r>
        <w:t>ECO0000303|PubMed16940157</w:t>
      </w:r>
      <w:proofErr w:type="spellEnd"/>
      <w:r>
        <w:t>}.</w:t>
      </w:r>
    </w:p>
    <w:p w14:paraId="3A8F5255" w14:textId="77777777" w:rsidR="00020E4F" w:rsidRDefault="00020E4F" w:rsidP="00020E4F">
      <w:pPr>
        <w:pStyle w:val="bmdsTblFootnote"/>
      </w:pPr>
      <w:proofErr w:type="spellStart"/>
      <w:r>
        <w:rPr>
          <w:b/>
        </w:rPr>
        <w:t>Eci1</w:t>
      </w:r>
      <w:proofErr w:type="spellEnd"/>
      <w:r>
        <w:rPr>
          <w:b/>
        </w:rPr>
        <w:t>:</w:t>
      </w:r>
      <w:r>
        <w:rPr>
          <w:i/>
        </w:rPr>
        <w:t xml:space="preserve"> Human </w:t>
      </w:r>
      <w:proofErr w:type="spellStart"/>
      <w:r>
        <w:rPr>
          <w:i/>
        </w:rPr>
        <w:t>Uniprot</w:t>
      </w:r>
      <w:proofErr w:type="spellEnd"/>
      <w:r>
        <w:rPr>
          <w:i/>
        </w:rPr>
        <w:t xml:space="preserve"> function (Human ECI1):</w:t>
      </w:r>
      <w:r>
        <w:t xml:space="preserve"> Able to isomerize both 3-cis and 3-trans double bonds into the 2-trans form in a range of enoyl-CoA species. {</w:t>
      </w:r>
      <w:proofErr w:type="spellStart"/>
      <w:r>
        <w:t>ECO0000269|PubMed7818490</w:t>
      </w:r>
      <w:proofErr w:type="spellEnd"/>
      <w:r>
        <w:t>}.</w:t>
      </w:r>
    </w:p>
    <w:p w14:paraId="27564D77" w14:textId="77777777" w:rsidR="00020E4F" w:rsidRDefault="00020E4F" w:rsidP="00020E4F">
      <w:pPr>
        <w:pStyle w:val="bmdsTblFootnote"/>
      </w:pPr>
      <w:r>
        <w:rPr>
          <w:b/>
        </w:rPr>
        <w:t>LOC100911558:</w:t>
      </w:r>
      <w:r>
        <w:rPr>
          <w:i/>
        </w:rPr>
        <w:t xml:space="preserve"> Human </w:t>
      </w:r>
      <w:proofErr w:type="spellStart"/>
      <w:r>
        <w:rPr>
          <w:i/>
        </w:rPr>
        <w:t>Uniprot</w:t>
      </w:r>
      <w:proofErr w:type="spellEnd"/>
      <w:r>
        <w:rPr>
          <w:i/>
        </w:rPr>
        <w:t xml:space="preserve"> function (Human SPINK1):</w:t>
      </w:r>
      <w:r>
        <w:t xml:space="preserve"> Serine protease inhibitor which exhibits anti-trypsin activity (</w:t>
      </w:r>
      <w:proofErr w:type="spellStart"/>
      <w:r>
        <w:t>PubMed7142173</w:t>
      </w:r>
      <w:proofErr w:type="spellEnd"/>
      <w:r>
        <w:t>). In the pancreas, protects against trypsin-catalyzed premature activation of zymogens (By similarity). {</w:t>
      </w:r>
      <w:proofErr w:type="spellStart"/>
      <w:r>
        <w:t>ECO0000250|UniProtKBP09036</w:t>
      </w:r>
      <w:proofErr w:type="spellEnd"/>
      <w:r>
        <w:t xml:space="preserve">, </w:t>
      </w:r>
      <w:proofErr w:type="spellStart"/>
      <w:r>
        <w:t>ECO0000269|PubMed7142173</w:t>
      </w:r>
      <w:proofErr w:type="spellEnd"/>
      <w:r>
        <w:t>}.; FUNCTION In the male reproductive tract, binds to sperm heads where it modulates sperm capacitance by inhibiting calcium uptake and nitrogen oxide (NO) production. {</w:t>
      </w:r>
      <w:proofErr w:type="spellStart"/>
      <w:r>
        <w:t>ECO0000250|UniProtKBP09036</w:t>
      </w:r>
      <w:proofErr w:type="spellEnd"/>
      <w:r>
        <w:t>}.</w:t>
      </w:r>
    </w:p>
    <w:p w14:paraId="34E685C1" w14:textId="77777777" w:rsidR="00020E4F" w:rsidRDefault="00020E4F" w:rsidP="00020E4F">
      <w:pPr>
        <w:pStyle w:val="bmdsTblFootnote"/>
      </w:pPr>
      <w:proofErr w:type="spellStart"/>
      <w:r>
        <w:rPr>
          <w:b/>
        </w:rPr>
        <w:t>Spink1</w:t>
      </w:r>
      <w:proofErr w:type="spellEnd"/>
      <w:r>
        <w:rPr>
          <w:b/>
        </w:rPr>
        <w:t>:</w:t>
      </w:r>
      <w:r>
        <w:t xml:space="preserve"> </w:t>
      </w:r>
      <w:r>
        <w:rPr>
          <w:i/>
        </w:rPr>
        <w:t xml:space="preserve">Human </w:t>
      </w:r>
      <w:proofErr w:type="spellStart"/>
      <w:r>
        <w:rPr>
          <w:i/>
        </w:rPr>
        <w:t>Uniprot</w:t>
      </w:r>
      <w:proofErr w:type="spellEnd"/>
      <w:r>
        <w:rPr>
          <w:i/>
        </w:rPr>
        <w:t xml:space="preserve"> function (Human SPINK1):</w:t>
      </w:r>
      <w:r>
        <w:t xml:space="preserve"> Serine protease inhibitor which exhibits anti-trypsin activity (</w:t>
      </w:r>
      <w:proofErr w:type="spellStart"/>
      <w:r>
        <w:t>PubMed7142173</w:t>
      </w:r>
      <w:proofErr w:type="spellEnd"/>
      <w:r>
        <w:t>). In the pancreas, protects against trypsin-catalyzed premature activation of zymogens (By similarity). {</w:t>
      </w:r>
      <w:proofErr w:type="spellStart"/>
      <w:r>
        <w:t>ECO:0000250|</w:t>
      </w:r>
      <w:proofErr w:type="gramStart"/>
      <w:r>
        <w:t>UniProtKB:P</w:t>
      </w:r>
      <w:proofErr w:type="gramEnd"/>
      <w:r>
        <w:t>09036</w:t>
      </w:r>
      <w:proofErr w:type="spellEnd"/>
      <w:r>
        <w:t xml:space="preserve">, </w:t>
      </w:r>
      <w:proofErr w:type="spellStart"/>
      <w:r>
        <w:t>ECO:0000269|PubMed7142173</w:t>
      </w:r>
      <w:proofErr w:type="spellEnd"/>
      <w:r>
        <w:t>}.; FUNCTION: In the male reproductive tract, binds to sperm heads where it modulates sperm capacitance by inhibiting calcium uptake and nitrogen oxide (NO) production. {</w:t>
      </w:r>
      <w:proofErr w:type="spellStart"/>
      <w:r>
        <w:t>ECO:0000250|</w:t>
      </w:r>
      <w:proofErr w:type="gramStart"/>
      <w:r>
        <w:t>UniProtKB:P</w:t>
      </w:r>
      <w:proofErr w:type="gramEnd"/>
      <w:r>
        <w:t>09036</w:t>
      </w:r>
      <w:proofErr w:type="spellEnd"/>
      <w:r>
        <w:t>}.</w:t>
      </w:r>
    </w:p>
    <w:p w14:paraId="0AA60772" w14:textId="77777777" w:rsidR="00020E4F" w:rsidRDefault="00020E4F" w:rsidP="00020E4F">
      <w:pPr>
        <w:pStyle w:val="bmdsTblFootnote"/>
      </w:pPr>
      <w:proofErr w:type="spellStart"/>
      <w:r>
        <w:rPr>
          <w:b/>
        </w:rPr>
        <w:t>Ehhadh</w:t>
      </w:r>
      <w:proofErr w:type="spellEnd"/>
      <w:r>
        <w:rPr>
          <w:b/>
        </w:rPr>
        <w:t>:</w:t>
      </w:r>
      <w:r>
        <w:rPr>
          <w:i/>
        </w:rPr>
        <w:t xml:space="preserve"> Human </w:t>
      </w:r>
      <w:proofErr w:type="spellStart"/>
      <w:r>
        <w:rPr>
          <w:i/>
        </w:rPr>
        <w:t>Uniprot</w:t>
      </w:r>
      <w:proofErr w:type="spellEnd"/>
      <w:r>
        <w:rPr>
          <w:i/>
        </w:rPr>
        <w:t xml:space="preserve"> function (Human EHHADH):</w:t>
      </w:r>
      <w:r>
        <w:t xml:space="preserve"> Peroxisomal trifunctional enzyme possessing 2-enoyl-CoA hydratase, 3-</w:t>
      </w:r>
      <w:proofErr w:type="spellStart"/>
      <w:r>
        <w:t>hydroxyacyl</w:t>
      </w:r>
      <w:proofErr w:type="spellEnd"/>
      <w:r>
        <w:t xml:space="preserve">-CoA dehydrogenase, and delta 3, delta 2-enoyl-CoA isomerase activities. Catalyzes two of the four reactions of the long straight chain fatty acids peroxisomal beta-oxidation pathway. Optimal isomerase for 2,5 double bonds into 3,5 form isomerization in a range of enoyl-CoA species (Probable). </w:t>
      </w:r>
      <w:proofErr w:type="gramStart"/>
      <w:r>
        <w:t>Also</w:t>
      </w:r>
      <w:proofErr w:type="gramEnd"/>
      <w:r>
        <w:t xml:space="preserve"> able to isomerize both 3-cis and 3-trans double bonds into the 2-trans form in a range of enoyl-CoA species (By similarity). With HSD17B4, catalyzes the hydration of trans-2-enoyl-CoA and the dehydrogenation of 3-</w:t>
      </w:r>
      <w:proofErr w:type="spellStart"/>
      <w:r>
        <w:t>hydroxyacyl</w:t>
      </w:r>
      <w:proofErr w:type="spellEnd"/>
      <w:r>
        <w:t>-CoA, but with opposite chiral specificity (</w:t>
      </w:r>
      <w:proofErr w:type="spellStart"/>
      <w:r>
        <w:t>PubMed15060085</w:t>
      </w:r>
      <w:proofErr w:type="spellEnd"/>
      <w:r>
        <w:t>). Regulates the amount of medium-chain dicarboxylic fatty acids which are essential regulators of all fatty acid oxidation pathways (By similarity). Also involved in the degradation of long-chain dicarboxylic acids through peroxisomal beta-oxidation (</w:t>
      </w:r>
      <w:proofErr w:type="spellStart"/>
      <w:r>
        <w:t>PubMed15060085</w:t>
      </w:r>
      <w:proofErr w:type="spellEnd"/>
      <w:r>
        <w:t>). {</w:t>
      </w:r>
      <w:proofErr w:type="spellStart"/>
      <w:r>
        <w:t>ECO0000250|UniProtKBP07896</w:t>
      </w:r>
      <w:proofErr w:type="spellEnd"/>
      <w:r>
        <w:t xml:space="preserve">, </w:t>
      </w:r>
      <w:proofErr w:type="spellStart"/>
      <w:r>
        <w:t>ECO0000250|UniProtKBQ9DBM2</w:t>
      </w:r>
      <w:proofErr w:type="spellEnd"/>
      <w:r>
        <w:t xml:space="preserve">, </w:t>
      </w:r>
      <w:proofErr w:type="spellStart"/>
      <w:r>
        <w:t>ECO0000269|PubMed15060085</w:t>
      </w:r>
      <w:proofErr w:type="spellEnd"/>
      <w:r>
        <w:t xml:space="preserve">, </w:t>
      </w:r>
      <w:proofErr w:type="spellStart"/>
      <w:r>
        <w:t>ECO0000305|PubMed15060085</w:t>
      </w:r>
      <w:proofErr w:type="spellEnd"/>
      <w:r>
        <w:t>}.</w:t>
      </w:r>
    </w:p>
    <w:p w14:paraId="1E785B16" w14:textId="77777777" w:rsidR="00020E4F" w:rsidRDefault="00020E4F" w:rsidP="00020E4F">
      <w:pPr>
        <w:pStyle w:val="bmdsTblFootnote"/>
      </w:pPr>
      <w:proofErr w:type="spellStart"/>
      <w:r>
        <w:rPr>
          <w:b/>
        </w:rPr>
        <w:t>Crot</w:t>
      </w:r>
      <w:proofErr w:type="spellEnd"/>
      <w:r>
        <w:rPr>
          <w:b/>
        </w:rPr>
        <w:t>:</w:t>
      </w:r>
      <w:r>
        <w:rPr>
          <w:i/>
        </w:rPr>
        <w:t xml:space="preserve"> Human </w:t>
      </w:r>
      <w:proofErr w:type="spellStart"/>
      <w:r>
        <w:rPr>
          <w:i/>
        </w:rPr>
        <w:t>Uniprot</w:t>
      </w:r>
      <w:proofErr w:type="spellEnd"/>
      <w:r>
        <w:rPr>
          <w:i/>
        </w:rPr>
        <w:t xml:space="preserve"> function (Human CROT):</w:t>
      </w:r>
      <w:r>
        <w:t xml:space="preserve"> Beta-oxidation of fatty acids. The highest activity concerns the </w:t>
      </w:r>
      <w:proofErr w:type="spellStart"/>
      <w:r>
        <w:t>C6</w:t>
      </w:r>
      <w:proofErr w:type="spellEnd"/>
      <w:r>
        <w:t xml:space="preserve"> to </w:t>
      </w:r>
      <w:proofErr w:type="spellStart"/>
      <w:r>
        <w:t>C10</w:t>
      </w:r>
      <w:proofErr w:type="spellEnd"/>
      <w:r>
        <w:t xml:space="preserve"> chain length substrate. Converts the </w:t>
      </w:r>
      <w:proofErr w:type="gramStart"/>
      <w:r>
        <w:t>end product</w:t>
      </w:r>
      <w:proofErr w:type="gramEnd"/>
      <w:r>
        <w:t xml:space="preserve"> of </w:t>
      </w:r>
      <w:proofErr w:type="spellStart"/>
      <w:r>
        <w:t>pristanic</w:t>
      </w:r>
      <w:proofErr w:type="spellEnd"/>
      <w:r>
        <w:t xml:space="preserve"> acid beta oxidation, 4,8-</w:t>
      </w:r>
      <w:proofErr w:type="spellStart"/>
      <w:r>
        <w:t>dimethylnonanoyl</w:t>
      </w:r>
      <w:proofErr w:type="spellEnd"/>
      <w:r>
        <w:t>-CoA, to its corresponding carnitine ester. {</w:t>
      </w:r>
      <w:proofErr w:type="spellStart"/>
      <w:r>
        <w:t>ECO0000269|PubMed10486279</w:t>
      </w:r>
      <w:proofErr w:type="spellEnd"/>
      <w:r>
        <w:t>}.</w:t>
      </w:r>
    </w:p>
    <w:p w14:paraId="0A4B1717" w14:textId="77777777" w:rsidR="00020E4F" w:rsidRDefault="00020E4F" w:rsidP="00020E4F">
      <w:pPr>
        <w:pStyle w:val="bmdsTblFootnote"/>
      </w:pPr>
      <w:proofErr w:type="spellStart"/>
      <w:r>
        <w:rPr>
          <w:b/>
        </w:rPr>
        <w:t>Acaa1a</w:t>
      </w:r>
      <w:proofErr w:type="spellEnd"/>
      <w:r>
        <w:rPr>
          <w:b/>
        </w:rPr>
        <w:t>:</w:t>
      </w:r>
      <w:r>
        <w:rPr>
          <w:i/>
        </w:rPr>
        <w:t xml:space="preserve"> Human Entrez Gene Summary (Human ACAA1):</w:t>
      </w:r>
      <w:r>
        <w:t xml:space="preserve"> This gene encodes an enzyme operative in the beta-oxidation system of the peroxisomes. Deficiency of this enzyme leads to pseudo-Zellweger syndrome. Alternative splicing results in multiple transcript variants. [provided by </w:t>
      </w:r>
      <w:proofErr w:type="spellStart"/>
      <w:r>
        <w:t>RefSeq</w:t>
      </w:r>
      <w:proofErr w:type="spellEnd"/>
      <w:r>
        <w:t>, Jul 2008]</w:t>
      </w:r>
    </w:p>
    <w:p w14:paraId="7DC17464" w14:textId="77777777" w:rsidR="00020E4F" w:rsidRDefault="00020E4F" w:rsidP="00020E4F">
      <w:pPr>
        <w:pStyle w:val="bmdsTblFootnote"/>
      </w:pPr>
      <w:proofErr w:type="spellStart"/>
      <w:r>
        <w:rPr>
          <w:b/>
        </w:rPr>
        <w:t>Acaa1b</w:t>
      </w:r>
      <w:proofErr w:type="spellEnd"/>
      <w:r>
        <w:rPr>
          <w:b/>
        </w:rPr>
        <w:t>:</w:t>
      </w:r>
      <w:r>
        <w:rPr>
          <w:i/>
        </w:rPr>
        <w:t xml:space="preserve"> Human Entrez Gene Summary (Human ACAA1):</w:t>
      </w:r>
      <w:r>
        <w:t xml:space="preserve"> This gene encodes an enzyme operative in the beta-oxidation system of the peroxisomes. Deficiency of this enzyme leads to pseudo-Zellweger syndrome. Alternative splicing results in multiple transcript variants. [provided by </w:t>
      </w:r>
      <w:proofErr w:type="spellStart"/>
      <w:r>
        <w:t>RefSeq</w:t>
      </w:r>
      <w:proofErr w:type="spellEnd"/>
      <w:r>
        <w:t>, Jul 2008]</w:t>
      </w:r>
    </w:p>
    <w:p w14:paraId="019B1286" w14:textId="77777777" w:rsidR="00020E4F" w:rsidRDefault="00020E4F" w:rsidP="00020E4F">
      <w:pPr>
        <w:rPr>
          <w:rFonts w:eastAsiaTheme="majorEastAsia" w:cstheme="majorBidi"/>
          <w:b/>
          <w:color w:val="000000" w:themeColor="text1"/>
        </w:rPr>
      </w:pPr>
      <w:r>
        <w:br w:type="page"/>
      </w:r>
    </w:p>
    <w:p w14:paraId="35224B43" w14:textId="77777777" w:rsidR="00020E4F" w:rsidRDefault="00020E4F" w:rsidP="00020E4F">
      <w:pPr>
        <w:pStyle w:val="Heading3"/>
      </w:pPr>
      <w:r>
        <w:lastRenderedPageBreak/>
        <w:t>Female Liver Top 10 Genes Ranked by Potency of Perturbation (Sorted by BMD Median)</w:t>
      </w:r>
    </w:p>
    <w:tbl>
      <w:tblPr>
        <w:tblW w:w="0" w:type="auto"/>
        <w:tblLook w:val="04A0" w:firstRow="1" w:lastRow="0" w:firstColumn="1" w:lastColumn="0" w:noHBand="0" w:noVBand="1"/>
      </w:tblPr>
      <w:tblGrid>
        <w:gridCol w:w="2003"/>
        <w:gridCol w:w="1724"/>
        <w:gridCol w:w="1571"/>
        <w:gridCol w:w="1338"/>
        <w:gridCol w:w="1339"/>
        <w:gridCol w:w="1385"/>
      </w:tblGrid>
      <w:tr w:rsidR="00020E4F" w14:paraId="42BB7EF4" w14:textId="77777777" w:rsidTr="00020E4F">
        <w:tc>
          <w:tcPr>
            <w:tcW w:w="2003" w:type="dxa"/>
            <w:tcBorders>
              <w:top w:val="single" w:sz="2" w:space="0" w:color="000000"/>
              <w:left w:val="nil"/>
              <w:bottom w:val="single" w:sz="2" w:space="0" w:color="000000"/>
              <w:right w:val="nil"/>
            </w:tcBorders>
            <w:vAlign w:val="center"/>
            <w:hideMark/>
          </w:tcPr>
          <w:p w14:paraId="7FAE2619" w14:textId="77777777" w:rsidR="00020E4F" w:rsidRDefault="00020E4F">
            <w:pPr>
              <w:pStyle w:val="bmdsTblBody"/>
            </w:pPr>
            <w:r>
              <w:rPr>
                <w:b/>
              </w:rPr>
              <w:t>Gene Symbol</w:t>
            </w:r>
          </w:p>
        </w:tc>
        <w:tc>
          <w:tcPr>
            <w:tcW w:w="1724" w:type="dxa"/>
            <w:tcBorders>
              <w:top w:val="single" w:sz="2" w:space="0" w:color="000000"/>
              <w:left w:val="nil"/>
              <w:bottom w:val="single" w:sz="2" w:space="0" w:color="000000"/>
              <w:right w:val="nil"/>
            </w:tcBorders>
            <w:vAlign w:val="center"/>
            <w:hideMark/>
          </w:tcPr>
          <w:p w14:paraId="56F893D7" w14:textId="77777777" w:rsidR="00020E4F" w:rsidRDefault="00020E4F">
            <w:pPr>
              <w:pStyle w:val="bmdsTblHeader"/>
              <w:jc w:val="center"/>
            </w:pPr>
            <w:r>
              <w:t>Entrez Gene IDs</w:t>
            </w:r>
          </w:p>
        </w:tc>
        <w:tc>
          <w:tcPr>
            <w:tcW w:w="1571" w:type="dxa"/>
            <w:tcBorders>
              <w:top w:val="single" w:sz="2" w:space="0" w:color="000000"/>
              <w:left w:val="nil"/>
              <w:bottom w:val="single" w:sz="2" w:space="0" w:color="000000"/>
              <w:right w:val="nil"/>
            </w:tcBorders>
            <w:vAlign w:val="center"/>
            <w:hideMark/>
          </w:tcPr>
          <w:p w14:paraId="194C7FFE" w14:textId="77777777" w:rsidR="00020E4F" w:rsidRDefault="00020E4F">
            <w:pPr>
              <w:pStyle w:val="bmdsTblHeader"/>
              <w:jc w:val="center"/>
            </w:pPr>
            <w:r>
              <w:t>Probe IDs</w:t>
            </w:r>
          </w:p>
        </w:tc>
        <w:tc>
          <w:tcPr>
            <w:tcW w:w="1338" w:type="dxa"/>
            <w:tcBorders>
              <w:top w:val="single" w:sz="2" w:space="0" w:color="000000"/>
              <w:left w:val="nil"/>
              <w:bottom w:val="single" w:sz="2" w:space="0" w:color="000000"/>
              <w:right w:val="nil"/>
            </w:tcBorders>
            <w:vAlign w:val="center"/>
            <w:hideMark/>
          </w:tcPr>
          <w:p w14:paraId="26D6E16E" w14:textId="77777777" w:rsidR="00020E4F" w:rsidRDefault="00020E4F">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339" w:type="dxa"/>
            <w:tcBorders>
              <w:top w:val="single" w:sz="2" w:space="0" w:color="000000"/>
              <w:left w:val="nil"/>
              <w:bottom w:val="single" w:sz="2" w:space="0" w:color="000000"/>
              <w:right w:val="nil"/>
            </w:tcBorders>
            <w:vAlign w:val="center"/>
            <w:hideMark/>
          </w:tcPr>
          <w:p w14:paraId="1C930E9B" w14:textId="77777777" w:rsidR="00020E4F" w:rsidRDefault="00020E4F">
            <w:pPr>
              <w:pStyle w:val="bmdsTblHeader"/>
              <w:jc w:val="center"/>
            </w:pPr>
            <w:r>
              <w:t>Maximum Fold Change</w:t>
            </w:r>
          </w:p>
        </w:tc>
        <w:tc>
          <w:tcPr>
            <w:tcW w:w="1385" w:type="dxa"/>
            <w:tcBorders>
              <w:top w:val="single" w:sz="2" w:space="0" w:color="000000"/>
              <w:left w:val="nil"/>
              <w:bottom w:val="single" w:sz="2" w:space="0" w:color="000000"/>
              <w:right w:val="nil"/>
            </w:tcBorders>
            <w:vAlign w:val="center"/>
            <w:hideMark/>
          </w:tcPr>
          <w:p w14:paraId="50A41B63" w14:textId="77777777" w:rsidR="00020E4F" w:rsidRDefault="00020E4F">
            <w:pPr>
              <w:pStyle w:val="bmdsTblHeader"/>
              <w:jc w:val="center"/>
            </w:pPr>
            <w:r>
              <w:t>Direction of Expression Change</w:t>
            </w:r>
          </w:p>
        </w:tc>
      </w:tr>
      <w:tr w:rsidR="00020E4F" w14:paraId="2A928027" w14:textId="77777777" w:rsidTr="00020E4F">
        <w:tc>
          <w:tcPr>
            <w:tcW w:w="2003" w:type="dxa"/>
            <w:vAlign w:val="center"/>
            <w:hideMark/>
          </w:tcPr>
          <w:p w14:paraId="2E023640" w14:textId="77777777" w:rsidR="00020E4F" w:rsidRDefault="00020E4F">
            <w:pPr>
              <w:pStyle w:val="bmdsTblBody"/>
            </w:pPr>
            <w:proofErr w:type="spellStart"/>
            <w:r>
              <w:rPr>
                <w:b/>
              </w:rPr>
              <w:t>gdf15</w:t>
            </w:r>
            <w:proofErr w:type="spellEnd"/>
          </w:p>
        </w:tc>
        <w:tc>
          <w:tcPr>
            <w:tcW w:w="1724" w:type="dxa"/>
            <w:vAlign w:val="center"/>
            <w:hideMark/>
          </w:tcPr>
          <w:p w14:paraId="25E80666" w14:textId="77777777" w:rsidR="00020E4F" w:rsidRDefault="00020E4F">
            <w:pPr>
              <w:pStyle w:val="bmdsTblBody"/>
              <w:jc w:val="center"/>
            </w:pPr>
            <w:r>
              <w:rPr>
                <w:sz w:val="16"/>
              </w:rPr>
              <w:t>29455</w:t>
            </w:r>
          </w:p>
        </w:tc>
        <w:tc>
          <w:tcPr>
            <w:tcW w:w="1571" w:type="dxa"/>
            <w:vAlign w:val="center"/>
            <w:hideMark/>
          </w:tcPr>
          <w:p w14:paraId="514A4607" w14:textId="77777777" w:rsidR="00020E4F" w:rsidRDefault="00020E4F">
            <w:pPr>
              <w:pStyle w:val="bmdsTblBody"/>
              <w:jc w:val="center"/>
            </w:pPr>
            <w:r>
              <w:rPr>
                <w:sz w:val="16"/>
              </w:rPr>
              <w:t>GDF15_33113</w:t>
            </w:r>
          </w:p>
        </w:tc>
        <w:tc>
          <w:tcPr>
            <w:tcW w:w="1338" w:type="dxa"/>
            <w:vAlign w:val="center"/>
            <w:hideMark/>
          </w:tcPr>
          <w:p w14:paraId="296D659E" w14:textId="77777777" w:rsidR="00020E4F" w:rsidRDefault="00020E4F">
            <w:pPr>
              <w:pStyle w:val="bmdsTblBody"/>
              <w:jc w:val="center"/>
            </w:pPr>
            <w:r>
              <w:rPr>
                <w:sz w:val="16"/>
              </w:rPr>
              <w:t>17.724 (8.696-37.098)</w:t>
            </w:r>
          </w:p>
        </w:tc>
        <w:tc>
          <w:tcPr>
            <w:tcW w:w="1339" w:type="dxa"/>
            <w:vAlign w:val="center"/>
            <w:hideMark/>
          </w:tcPr>
          <w:p w14:paraId="64E02787" w14:textId="77777777" w:rsidR="00020E4F" w:rsidRDefault="00020E4F">
            <w:pPr>
              <w:pStyle w:val="bmdsTblBody"/>
              <w:jc w:val="center"/>
            </w:pPr>
            <w:r>
              <w:rPr>
                <w:sz w:val="16"/>
              </w:rPr>
              <w:t>5.8</w:t>
            </w:r>
          </w:p>
        </w:tc>
        <w:tc>
          <w:tcPr>
            <w:tcW w:w="1385" w:type="dxa"/>
            <w:vAlign w:val="center"/>
            <w:hideMark/>
          </w:tcPr>
          <w:p w14:paraId="06594AAD" w14:textId="77777777" w:rsidR="00020E4F" w:rsidRDefault="00020E4F">
            <w:pPr>
              <w:pStyle w:val="bmdsTblBody"/>
              <w:jc w:val="center"/>
            </w:pPr>
            <w:r>
              <w:rPr>
                <w:sz w:val="16"/>
              </w:rPr>
              <w:t>UP</w:t>
            </w:r>
          </w:p>
        </w:tc>
      </w:tr>
      <w:tr w:rsidR="00020E4F" w14:paraId="01E5E473" w14:textId="77777777" w:rsidTr="00020E4F">
        <w:tc>
          <w:tcPr>
            <w:tcW w:w="2003" w:type="dxa"/>
            <w:vAlign w:val="center"/>
            <w:hideMark/>
          </w:tcPr>
          <w:p w14:paraId="514B1F93" w14:textId="77777777" w:rsidR="00020E4F" w:rsidRDefault="00020E4F">
            <w:pPr>
              <w:pStyle w:val="bmdsTblBody"/>
            </w:pPr>
            <w:proofErr w:type="spellStart"/>
            <w:r>
              <w:rPr>
                <w:b/>
              </w:rPr>
              <w:t>igfbp1</w:t>
            </w:r>
            <w:proofErr w:type="spellEnd"/>
          </w:p>
        </w:tc>
        <w:tc>
          <w:tcPr>
            <w:tcW w:w="1724" w:type="dxa"/>
            <w:vAlign w:val="center"/>
            <w:hideMark/>
          </w:tcPr>
          <w:p w14:paraId="4A072836" w14:textId="77777777" w:rsidR="00020E4F" w:rsidRDefault="00020E4F">
            <w:pPr>
              <w:pStyle w:val="bmdsTblBody"/>
              <w:jc w:val="center"/>
            </w:pPr>
            <w:r>
              <w:rPr>
                <w:sz w:val="16"/>
              </w:rPr>
              <w:t>25685</w:t>
            </w:r>
          </w:p>
        </w:tc>
        <w:tc>
          <w:tcPr>
            <w:tcW w:w="1571" w:type="dxa"/>
            <w:vAlign w:val="center"/>
            <w:hideMark/>
          </w:tcPr>
          <w:p w14:paraId="0F9E8958" w14:textId="77777777" w:rsidR="00020E4F" w:rsidRDefault="00020E4F">
            <w:pPr>
              <w:pStyle w:val="bmdsTblBody"/>
              <w:jc w:val="center"/>
            </w:pPr>
            <w:r>
              <w:rPr>
                <w:sz w:val="16"/>
              </w:rPr>
              <w:t>IGFBP1_32306</w:t>
            </w:r>
          </w:p>
        </w:tc>
        <w:tc>
          <w:tcPr>
            <w:tcW w:w="1338" w:type="dxa"/>
            <w:vAlign w:val="center"/>
            <w:hideMark/>
          </w:tcPr>
          <w:p w14:paraId="5007B3C2" w14:textId="77777777" w:rsidR="00020E4F" w:rsidRDefault="00020E4F">
            <w:pPr>
              <w:pStyle w:val="bmdsTblBody"/>
              <w:jc w:val="center"/>
            </w:pPr>
            <w:r>
              <w:rPr>
                <w:sz w:val="16"/>
              </w:rPr>
              <w:t>18.792 (7.230-51.558)</w:t>
            </w:r>
          </w:p>
        </w:tc>
        <w:tc>
          <w:tcPr>
            <w:tcW w:w="1339" w:type="dxa"/>
            <w:vAlign w:val="center"/>
            <w:hideMark/>
          </w:tcPr>
          <w:p w14:paraId="5287FB8F" w14:textId="77777777" w:rsidR="00020E4F" w:rsidRDefault="00020E4F">
            <w:pPr>
              <w:pStyle w:val="bmdsTblBody"/>
              <w:jc w:val="center"/>
            </w:pPr>
            <w:r>
              <w:rPr>
                <w:sz w:val="16"/>
              </w:rPr>
              <w:t>4.3</w:t>
            </w:r>
          </w:p>
        </w:tc>
        <w:tc>
          <w:tcPr>
            <w:tcW w:w="1385" w:type="dxa"/>
            <w:vAlign w:val="center"/>
            <w:hideMark/>
          </w:tcPr>
          <w:p w14:paraId="45CA6DDF" w14:textId="77777777" w:rsidR="00020E4F" w:rsidRDefault="00020E4F">
            <w:pPr>
              <w:pStyle w:val="bmdsTblBody"/>
              <w:jc w:val="center"/>
            </w:pPr>
            <w:r>
              <w:rPr>
                <w:sz w:val="16"/>
              </w:rPr>
              <w:t>UP</w:t>
            </w:r>
          </w:p>
        </w:tc>
      </w:tr>
      <w:tr w:rsidR="00020E4F" w14:paraId="08875DCF" w14:textId="77777777" w:rsidTr="00020E4F">
        <w:tc>
          <w:tcPr>
            <w:tcW w:w="2003" w:type="dxa"/>
            <w:vAlign w:val="center"/>
            <w:hideMark/>
          </w:tcPr>
          <w:p w14:paraId="6B79BA7C" w14:textId="77777777" w:rsidR="00020E4F" w:rsidRDefault="00020E4F">
            <w:pPr>
              <w:pStyle w:val="bmdsTblBody"/>
            </w:pPr>
            <w:proofErr w:type="spellStart"/>
            <w:r>
              <w:rPr>
                <w:b/>
              </w:rPr>
              <w:t>eci1</w:t>
            </w:r>
            <w:proofErr w:type="spellEnd"/>
          </w:p>
        </w:tc>
        <w:tc>
          <w:tcPr>
            <w:tcW w:w="1724" w:type="dxa"/>
            <w:vAlign w:val="center"/>
            <w:hideMark/>
          </w:tcPr>
          <w:p w14:paraId="37F4156B" w14:textId="77777777" w:rsidR="00020E4F" w:rsidRDefault="00020E4F">
            <w:pPr>
              <w:pStyle w:val="bmdsTblBody"/>
              <w:jc w:val="center"/>
            </w:pPr>
            <w:r>
              <w:rPr>
                <w:sz w:val="16"/>
              </w:rPr>
              <w:t>29740</w:t>
            </w:r>
          </w:p>
        </w:tc>
        <w:tc>
          <w:tcPr>
            <w:tcW w:w="1571" w:type="dxa"/>
            <w:vAlign w:val="center"/>
            <w:hideMark/>
          </w:tcPr>
          <w:p w14:paraId="29E689B5" w14:textId="77777777" w:rsidR="00020E4F" w:rsidRDefault="00020E4F">
            <w:pPr>
              <w:pStyle w:val="bmdsTblBody"/>
              <w:jc w:val="center"/>
            </w:pPr>
            <w:r>
              <w:rPr>
                <w:sz w:val="16"/>
              </w:rPr>
              <w:t>ECI1_8520</w:t>
            </w:r>
          </w:p>
        </w:tc>
        <w:tc>
          <w:tcPr>
            <w:tcW w:w="1338" w:type="dxa"/>
            <w:vAlign w:val="center"/>
            <w:hideMark/>
          </w:tcPr>
          <w:p w14:paraId="0C3DA472" w14:textId="77777777" w:rsidR="00020E4F" w:rsidRDefault="00020E4F">
            <w:pPr>
              <w:pStyle w:val="bmdsTblBody"/>
              <w:jc w:val="center"/>
            </w:pPr>
            <w:r>
              <w:rPr>
                <w:sz w:val="16"/>
              </w:rPr>
              <w:t>32.546 (27.162-40.287)</w:t>
            </w:r>
          </w:p>
        </w:tc>
        <w:tc>
          <w:tcPr>
            <w:tcW w:w="1339" w:type="dxa"/>
            <w:vAlign w:val="center"/>
            <w:hideMark/>
          </w:tcPr>
          <w:p w14:paraId="33DA6C07" w14:textId="77777777" w:rsidR="00020E4F" w:rsidRDefault="00020E4F">
            <w:pPr>
              <w:pStyle w:val="bmdsTblBody"/>
              <w:jc w:val="center"/>
            </w:pPr>
            <w:r>
              <w:rPr>
                <w:sz w:val="16"/>
              </w:rPr>
              <w:t>9.6</w:t>
            </w:r>
          </w:p>
        </w:tc>
        <w:tc>
          <w:tcPr>
            <w:tcW w:w="1385" w:type="dxa"/>
            <w:vAlign w:val="center"/>
            <w:hideMark/>
          </w:tcPr>
          <w:p w14:paraId="5D6F0E60" w14:textId="77777777" w:rsidR="00020E4F" w:rsidRDefault="00020E4F">
            <w:pPr>
              <w:pStyle w:val="bmdsTblBody"/>
              <w:jc w:val="center"/>
            </w:pPr>
            <w:r>
              <w:rPr>
                <w:sz w:val="16"/>
              </w:rPr>
              <w:t>UP</w:t>
            </w:r>
          </w:p>
        </w:tc>
      </w:tr>
      <w:tr w:rsidR="00020E4F" w14:paraId="5F206809" w14:textId="77777777" w:rsidTr="00020E4F">
        <w:tc>
          <w:tcPr>
            <w:tcW w:w="2003" w:type="dxa"/>
            <w:vAlign w:val="center"/>
            <w:hideMark/>
          </w:tcPr>
          <w:p w14:paraId="4C267503" w14:textId="77777777" w:rsidR="00020E4F" w:rsidRDefault="00020E4F">
            <w:pPr>
              <w:pStyle w:val="bmdsTblBody"/>
            </w:pPr>
            <w:proofErr w:type="spellStart"/>
            <w:r>
              <w:rPr>
                <w:b/>
              </w:rPr>
              <w:t>etfdh</w:t>
            </w:r>
            <w:proofErr w:type="spellEnd"/>
          </w:p>
        </w:tc>
        <w:tc>
          <w:tcPr>
            <w:tcW w:w="1724" w:type="dxa"/>
            <w:vAlign w:val="center"/>
            <w:hideMark/>
          </w:tcPr>
          <w:p w14:paraId="7A63D15F" w14:textId="77777777" w:rsidR="00020E4F" w:rsidRDefault="00020E4F">
            <w:pPr>
              <w:pStyle w:val="bmdsTblBody"/>
              <w:jc w:val="center"/>
            </w:pPr>
            <w:r>
              <w:rPr>
                <w:sz w:val="16"/>
              </w:rPr>
              <w:t>295143</w:t>
            </w:r>
          </w:p>
        </w:tc>
        <w:tc>
          <w:tcPr>
            <w:tcW w:w="1571" w:type="dxa"/>
            <w:vAlign w:val="center"/>
            <w:hideMark/>
          </w:tcPr>
          <w:p w14:paraId="62642F2F" w14:textId="77777777" w:rsidR="00020E4F" w:rsidRDefault="00020E4F">
            <w:pPr>
              <w:pStyle w:val="bmdsTblBody"/>
              <w:jc w:val="center"/>
            </w:pPr>
            <w:r>
              <w:rPr>
                <w:sz w:val="16"/>
              </w:rPr>
              <w:t>ETFDH_8575</w:t>
            </w:r>
          </w:p>
        </w:tc>
        <w:tc>
          <w:tcPr>
            <w:tcW w:w="1338" w:type="dxa"/>
            <w:vAlign w:val="center"/>
            <w:hideMark/>
          </w:tcPr>
          <w:p w14:paraId="3872F9B6" w14:textId="77777777" w:rsidR="00020E4F" w:rsidRDefault="00020E4F">
            <w:pPr>
              <w:pStyle w:val="bmdsTblBody"/>
              <w:jc w:val="center"/>
            </w:pPr>
            <w:r>
              <w:rPr>
                <w:sz w:val="16"/>
              </w:rPr>
              <w:t>34.846 (26.297-48.311)</w:t>
            </w:r>
          </w:p>
        </w:tc>
        <w:tc>
          <w:tcPr>
            <w:tcW w:w="1339" w:type="dxa"/>
            <w:vAlign w:val="center"/>
            <w:hideMark/>
          </w:tcPr>
          <w:p w14:paraId="2DE29A94" w14:textId="77777777" w:rsidR="00020E4F" w:rsidRDefault="00020E4F">
            <w:pPr>
              <w:pStyle w:val="bmdsTblBody"/>
              <w:jc w:val="center"/>
            </w:pPr>
            <w:r>
              <w:rPr>
                <w:sz w:val="16"/>
              </w:rPr>
              <w:t>2.0</w:t>
            </w:r>
          </w:p>
        </w:tc>
        <w:tc>
          <w:tcPr>
            <w:tcW w:w="1385" w:type="dxa"/>
            <w:vAlign w:val="center"/>
            <w:hideMark/>
          </w:tcPr>
          <w:p w14:paraId="6950E2F9" w14:textId="77777777" w:rsidR="00020E4F" w:rsidRDefault="00020E4F">
            <w:pPr>
              <w:pStyle w:val="bmdsTblBody"/>
              <w:jc w:val="center"/>
            </w:pPr>
            <w:r>
              <w:rPr>
                <w:sz w:val="16"/>
              </w:rPr>
              <w:t>UP</w:t>
            </w:r>
          </w:p>
        </w:tc>
      </w:tr>
      <w:tr w:rsidR="00020E4F" w14:paraId="5822FE91" w14:textId="77777777" w:rsidTr="00020E4F">
        <w:tc>
          <w:tcPr>
            <w:tcW w:w="2003" w:type="dxa"/>
            <w:vAlign w:val="center"/>
            <w:hideMark/>
          </w:tcPr>
          <w:p w14:paraId="79440B97" w14:textId="77777777" w:rsidR="00020E4F" w:rsidRDefault="00020E4F">
            <w:pPr>
              <w:pStyle w:val="bmdsTblBody"/>
            </w:pPr>
            <w:proofErr w:type="spellStart"/>
            <w:r>
              <w:rPr>
                <w:b/>
              </w:rPr>
              <w:t>cyp2b1</w:t>
            </w:r>
            <w:proofErr w:type="spellEnd"/>
          </w:p>
        </w:tc>
        <w:tc>
          <w:tcPr>
            <w:tcW w:w="1724" w:type="dxa"/>
            <w:vAlign w:val="center"/>
            <w:hideMark/>
          </w:tcPr>
          <w:p w14:paraId="427D9664" w14:textId="77777777" w:rsidR="00020E4F" w:rsidRDefault="00020E4F">
            <w:pPr>
              <w:pStyle w:val="bmdsTblBody"/>
              <w:jc w:val="center"/>
            </w:pPr>
            <w:r>
              <w:rPr>
                <w:sz w:val="16"/>
              </w:rPr>
              <w:t>24300</w:t>
            </w:r>
          </w:p>
        </w:tc>
        <w:tc>
          <w:tcPr>
            <w:tcW w:w="1571" w:type="dxa"/>
            <w:vAlign w:val="center"/>
            <w:hideMark/>
          </w:tcPr>
          <w:p w14:paraId="66FF61F4" w14:textId="77777777" w:rsidR="00020E4F" w:rsidRDefault="00020E4F">
            <w:pPr>
              <w:pStyle w:val="bmdsTblBody"/>
              <w:jc w:val="center"/>
            </w:pPr>
            <w:r>
              <w:rPr>
                <w:sz w:val="16"/>
              </w:rPr>
              <w:t>CYP2B1_32451</w:t>
            </w:r>
          </w:p>
        </w:tc>
        <w:tc>
          <w:tcPr>
            <w:tcW w:w="1338" w:type="dxa"/>
            <w:vAlign w:val="center"/>
            <w:hideMark/>
          </w:tcPr>
          <w:p w14:paraId="6E5DAF7F" w14:textId="77777777" w:rsidR="00020E4F" w:rsidRDefault="00020E4F">
            <w:pPr>
              <w:pStyle w:val="bmdsTblBody"/>
              <w:jc w:val="center"/>
            </w:pPr>
            <w:r>
              <w:rPr>
                <w:sz w:val="16"/>
              </w:rPr>
              <w:t>35.483 (29.479-44.233)</w:t>
            </w:r>
          </w:p>
        </w:tc>
        <w:tc>
          <w:tcPr>
            <w:tcW w:w="1339" w:type="dxa"/>
            <w:vAlign w:val="center"/>
            <w:hideMark/>
          </w:tcPr>
          <w:p w14:paraId="1B227D85" w14:textId="77777777" w:rsidR="00020E4F" w:rsidRDefault="00020E4F">
            <w:pPr>
              <w:pStyle w:val="bmdsTblBody"/>
              <w:jc w:val="center"/>
            </w:pPr>
            <w:r>
              <w:rPr>
                <w:sz w:val="16"/>
              </w:rPr>
              <w:t>196.8</w:t>
            </w:r>
          </w:p>
        </w:tc>
        <w:tc>
          <w:tcPr>
            <w:tcW w:w="1385" w:type="dxa"/>
            <w:vAlign w:val="center"/>
            <w:hideMark/>
          </w:tcPr>
          <w:p w14:paraId="15361DD4" w14:textId="77777777" w:rsidR="00020E4F" w:rsidRDefault="00020E4F">
            <w:pPr>
              <w:pStyle w:val="bmdsTblBody"/>
              <w:jc w:val="center"/>
            </w:pPr>
            <w:r>
              <w:rPr>
                <w:sz w:val="16"/>
              </w:rPr>
              <w:t>UP</w:t>
            </w:r>
          </w:p>
        </w:tc>
      </w:tr>
      <w:tr w:rsidR="00020E4F" w14:paraId="5FE1D6BD" w14:textId="77777777" w:rsidTr="00020E4F">
        <w:tc>
          <w:tcPr>
            <w:tcW w:w="2003" w:type="dxa"/>
            <w:vAlign w:val="center"/>
            <w:hideMark/>
          </w:tcPr>
          <w:p w14:paraId="518CF57D" w14:textId="77777777" w:rsidR="00020E4F" w:rsidRDefault="00020E4F">
            <w:pPr>
              <w:pStyle w:val="bmdsTblBody"/>
            </w:pPr>
            <w:proofErr w:type="spellStart"/>
            <w:r>
              <w:rPr>
                <w:b/>
              </w:rPr>
              <w:t>loc108348266</w:t>
            </w:r>
            <w:proofErr w:type="spellEnd"/>
          </w:p>
        </w:tc>
        <w:tc>
          <w:tcPr>
            <w:tcW w:w="1724" w:type="dxa"/>
            <w:vAlign w:val="center"/>
            <w:hideMark/>
          </w:tcPr>
          <w:p w14:paraId="27B29D12" w14:textId="77777777" w:rsidR="00020E4F" w:rsidRDefault="00020E4F">
            <w:pPr>
              <w:pStyle w:val="bmdsTblBody"/>
              <w:jc w:val="center"/>
            </w:pPr>
            <w:r>
              <w:rPr>
                <w:sz w:val="16"/>
              </w:rPr>
              <w:t>108348266</w:t>
            </w:r>
          </w:p>
        </w:tc>
        <w:tc>
          <w:tcPr>
            <w:tcW w:w="1571" w:type="dxa"/>
            <w:vAlign w:val="center"/>
            <w:hideMark/>
          </w:tcPr>
          <w:p w14:paraId="0A407B28" w14:textId="77777777" w:rsidR="00020E4F" w:rsidRDefault="00020E4F">
            <w:pPr>
              <w:pStyle w:val="bmdsTblBody"/>
              <w:jc w:val="center"/>
            </w:pPr>
            <w:r>
              <w:rPr>
                <w:sz w:val="16"/>
              </w:rPr>
              <w:t>CYP2B1_32451</w:t>
            </w:r>
          </w:p>
        </w:tc>
        <w:tc>
          <w:tcPr>
            <w:tcW w:w="1338" w:type="dxa"/>
            <w:vAlign w:val="center"/>
            <w:hideMark/>
          </w:tcPr>
          <w:p w14:paraId="66C1692C" w14:textId="77777777" w:rsidR="00020E4F" w:rsidRDefault="00020E4F">
            <w:pPr>
              <w:pStyle w:val="bmdsTblBody"/>
              <w:jc w:val="center"/>
            </w:pPr>
            <w:r>
              <w:rPr>
                <w:sz w:val="16"/>
              </w:rPr>
              <w:t>35.483 (29.479-44.233)</w:t>
            </w:r>
          </w:p>
        </w:tc>
        <w:tc>
          <w:tcPr>
            <w:tcW w:w="1339" w:type="dxa"/>
            <w:vAlign w:val="center"/>
            <w:hideMark/>
          </w:tcPr>
          <w:p w14:paraId="24ECAD4E" w14:textId="77777777" w:rsidR="00020E4F" w:rsidRDefault="00020E4F">
            <w:pPr>
              <w:pStyle w:val="bmdsTblBody"/>
              <w:jc w:val="center"/>
            </w:pPr>
            <w:r>
              <w:rPr>
                <w:sz w:val="16"/>
              </w:rPr>
              <w:t>196.8</w:t>
            </w:r>
          </w:p>
        </w:tc>
        <w:tc>
          <w:tcPr>
            <w:tcW w:w="1385" w:type="dxa"/>
            <w:vAlign w:val="center"/>
            <w:hideMark/>
          </w:tcPr>
          <w:p w14:paraId="26C14787" w14:textId="77777777" w:rsidR="00020E4F" w:rsidRDefault="00020E4F">
            <w:pPr>
              <w:pStyle w:val="bmdsTblBody"/>
              <w:jc w:val="center"/>
            </w:pPr>
            <w:r>
              <w:rPr>
                <w:sz w:val="16"/>
              </w:rPr>
              <w:t>UP</w:t>
            </w:r>
          </w:p>
        </w:tc>
      </w:tr>
      <w:tr w:rsidR="00020E4F" w14:paraId="4FB6B7B2" w14:textId="77777777" w:rsidTr="00020E4F">
        <w:tc>
          <w:tcPr>
            <w:tcW w:w="2003" w:type="dxa"/>
            <w:vAlign w:val="center"/>
            <w:hideMark/>
          </w:tcPr>
          <w:p w14:paraId="75F8028C" w14:textId="77777777" w:rsidR="00020E4F" w:rsidRDefault="00020E4F">
            <w:pPr>
              <w:pStyle w:val="bmdsTblBody"/>
            </w:pPr>
            <w:proofErr w:type="spellStart"/>
            <w:r>
              <w:rPr>
                <w:b/>
              </w:rPr>
              <w:t>dhrs7</w:t>
            </w:r>
            <w:proofErr w:type="spellEnd"/>
          </w:p>
        </w:tc>
        <w:tc>
          <w:tcPr>
            <w:tcW w:w="1724" w:type="dxa"/>
            <w:vAlign w:val="center"/>
            <w:hideMark/>
          </w:tcPr>
          <w:p w14:paraId="4686B8A8" w14:textId="77777777" w:rsidR="00020E4F" w:rsidRDefault="00020E4F">
            <w:pPr>
              <w:pStyle w:val="bmdsTblBody"/>
              <w:jc w:val="center"/>
            </w:pPr>
            <w:r>
              <w:rPr>
                <w:sz w:val="16"/>
              </w:rPr>
              <w:t>299135</w:t>
            </w:r>
          </w:p>
        </w:tc>
        <w:tc>
          <w:tcPr>
            <w:tcW w:w="1571" w:type="dxa"/>
            <w:vAlign w:val="center"/>
            <w:hideMark/>
          </w:tcPr>
          <w:p w14:paraId="3966F25A" w14:textId="77777777" w:rsidR="00020E4F" w:rsidRDefault="00020E4F">
            <w:pPr>
              <w:pStyle w:val="bmdsTblBody"/>
              <w:jc w:val="center"/>
            </w:pPr>
            <w:r>
              <w:rPr>
                <w:sz w:val="16"/>
              </w:rPr>
              <w:t>DHRS7_8469</w:t>
            </w:r>
          </w:p>
        </w:tc>
        <w:tc>
          <w:tcPr>
            <w:tcW w:w="1338" w:type="dxa"/>
            <w:vAlign w:val="center"/>
            <w:hideMark/>
          </w:tcPr>
          <w:p w14:paraId="3D6C410F" w14:textId="77777777" w:rsidR="00020E4F" w:rsidRDefault="00020E4F">
            <w:pPr>
              <w:pStyle w:val="bmdsTblBody"/>
              <w:jc w:val="center"/>
            </w:pPr>
            <w:r>
              <w:rPr>
                <w:sz w:val="16"/>
              </w:rPr>
              <w:t>35.986 (10.630-156.958)</w:t>
            </w:r>
          </w:p>
        </w:tc>
        <w:tc>
          <w:tcPr>
            <w:tcW w:w="1339" w:type="dxa"/>
            <w:vAlign w:val="center"/>
            <w:hideMark/>
          </w:tcPr>
          <w:p w14:paraId="7D08B888" w14:textId="77777777" w:rsidR="00020E4F" w:rsidRDefault="00020E4F">
            <w:pPr>
              <w:pStyle w:val="bmdsTblBody"/>
              <w:jc w:val="center"/>
            </w:pPr>
            <w:r>
              <w:rPr>
                <w:sz w:val="16"/>
              </w:rPr>
              <w:t>4.4</w:t>
            </w:r>
          </w:p>
        </w:tc>
        <w:tc>
          <w:tcPr>
            <w:tcW w:w="1385" w:type="dxa"/>
            <w:vAlign w:val="center"/>
            <w:hideMark/>
          </w:tcPr>
          <w:p w14:paraId="529C42AD" w14:textId="77777777" w:rsidR="00020E4F" w:rsidRDefault="00020E4F">
            <w:pPr>
              <w:pStyle w:val="bmdsTblBody"/>
              <w:jc w:val="center"/>
            </w:pPr>
            <w:r>
              <w:rPr>
                <w:sz w:val="16"/>
              </w:rPr>
              <w:t>UP</w:t>
            </w:r>
          </w:p>
        </w:tc>
      </w:tr>
      <w:tr w:rsidR="00020E4F" w14:paraId="220B3D13" w14:textId="77777777" w:rsidTr="00020E4F">
        <w:tc>
          <w:tcPr>
            <w:tcW w:w="2003" w:type="dxa"/>
            <w:vAlign w:val="center"/>
            <w:hideMark/>
          </w:tcPr>
          <w:p w14:paraId="2FB20121" w14:textId="77777777" w:rsidR="00020E4F" w:rsidRDefault="00020E4F">
            <w:pPr>
              <w:pStyle w:val="bmdsTblBody"/>
            </w:pPr>
            <w:proofErr w:type="spellStart"/>
            <w:r>
              <w:rPr>
                <w:b/>
              </w:rPr>
              <w:t>dhrs7l1</w:t>
            </w:r>
            <w:proofErr w:type="spellEnd"/>
          </w:p>
        </w:tc>
        <w:tc>
          <w:tcPr>
            <w:tcW w:w="1724" w:type="dxa"/>
            <w:vAlign w:val="center"/>
            <w:hideMark/>
          </w:tcPr>
          <w:p w14:paraId="5AE2242E" w14:textId="77777777" w:rsidR="00020E4F" w:rsidRDefault="00020E4F">
            <w:pPr>
              <w:pStyle w:val="bmdsTblBody"/>
              <w:jc w:val="center"/>
            </w:pPr>
            <w:r>
              <w:rPr>
                <w:sz w:val="16"/>
              </w:rPr>
              <w:t>299131</w:t>
            </w:r>
          </w:p>
        </w:tc>
        <w:tc>
          <w:tcPr>
            <w:tcW w:w="1571" w:type="dxa"/>
            <w:vAlign w:val="center"/>
            <w:hideMark/>
          </w:tcPr>
          <w:p w14:paraId="3092E6B5" w14:textId="77777777" w:rsidR="00020E4F" w:rsidRDefault="00020E4F">
            <w:pPr>
              <w:pStyle w:val="bmdsTblBody"/>
              <w:jc w:val="center"/>
            </w:pPr>
            <w:r>
              <w:rPr>
                <w:sz w:val="16"/>
              </w:rPr>
              <w:t>DHRS7_8469</w:t>
            </w:r>
          </w:p>
        </w:tc>
        <w:tc>
          <w:tcPr>
            <w:tcW w:w="1338" w:type="dxa"/>
            <w:vAlign w:val="center"/>
            <w:hideMark/>
          </w:tcPr>
          <w:p w14:paraId="0EA97A1C" w14:textId="77777777" w:rsidR="00020E4F" w:rsidRDefault="00020E4F">
            <w:pPr>
              <w:pStyle w:val="bmdsTblBody"/>
              <w:jc w:val="center"/>
            </w:pPr>
            <w:r>
              <w:rPr>
                <w:sz w:val="16"/>
              </w:rPr>
              <w:t>35.986 (10.630-156.958)</w:t>
            </w:r>
          </w:p>
        </w:tc>
        <w:tc>
          <w:tcPr>
            <w:tcW w:w="1339" w:type="dxa"/>
            <w:vAlign w:val="center"/>
            <w:hideMark/>
          </w:tcPr>
          <w:p w14:paraId="16BE3B2C" w14:textId="77777777" w:rsidR="00020E4F" w:rsidRDefault="00020E4F">
            <w:pPr>
              <w:pStyle w:val="bmdsTblBody"/>
              <w:jc w:val="center"/>
            </w:pPr>
            <w:r>
              <w:rPr>
                <w:sz w:val="16"/>
              </w:rPr>
              <w:t>4.4</w:t>
            </w:r>
          </w:p>
        </w:tc>
        <w:tc>
          <w:tcPr>
            <w:tcW w:w="1385" w:type="dxa"/>
            <w:vAlign w:val="center"/>
            <w:hideMark/>
          </w:tcPr>
          <w:p w14:paraId="1AF0C6E7" w14:textId="77777777" w:rsidR="00020E4F" w:rsidRDefault="00020E4F">
            <w:pPr>
              <w:pStyle w:val="bmdsTblBody"/>
              <w:jc w:val="center"/>
            </w:pPr>
            <w:r>
              <w:rPr>
                <w:sz w:val="16"/>
              </w:rPr>
              <w:t>UP</w:t>
            </w:r>
          </w:p>
        </w:tc>
      </w:tr>
      <w:tr w:rsidR="00020E4F" w14:paraId="66069B13" w14:textId="77777777" w:rsidTr="00020E4F">
        <w:tc>
          <w:tcPr>
            <w:tcW w:w="2003" w:type="dxa"/>
            <w:vAlign w:val="center"/>
            <w:hideMark/>
          </w:tcPr>
          <w:p w14:paraId="2432BB60" w14:textId="77777777" w:rsidR="00020E4F" w:rsidRDefault="00020E4F">
            <w:pPr>
              <w:pStyle w:val="bmdsTblBody"/>
            </w:pPr>
            <w:proofErr w:type="spellStart"/>
            <w:r>
              <w:rPr>
                <w:b/>
              </w:rPr>
              <w:t>slc27a2</w:t>
            </w:r>
            <w:proofErr w:type="spellEnd"/>
          </w:p>
        </w:tc>
        <w:tc>
          <w:tcPr>
            <w:tcW w:w="1724" w:type="dxa"/>
            <w:vAlign w:val="center"/>
            <w:hideMark/>
          </w:tcPr>
          <w:p w14:paraId="494B1190" w14:textId="77777777" w:rsidR="00020E4F" w:rsidRDefault="00020E4F">
            <w:pPr>
              <w:pStyle w:val="bmdsTblBody"/>
              <w:jc w:val="center"/>
            </w:pPr>
            <w:r>
              <w:rPr>
                <w:sz w:val="16"/>
              </w:rPr>
              <w:t>65192</w:t>
            </w:r>
          </w:p>
        </w:tc>
        <w:tc>
          <w:tcPr>
            <w:tcW w:w="1571" w:type="dxa"/>
            <w:vAlign w:val="center"/>
            <w:hideMark/>
          </w:tcPr>
          <w:p w14:paraId="5FEDAA49" w14:textId="77777777" w:rsidR="00020E4F" w:rsidRDefault="00020E4F">
            <w:pPr>
              <w:pStyle w:val="bmdsTblBody"/>
              <w:jc w:val="center"/>
            </w:pPr>
            <w:r>
              <w:rPr>
                <w:sz w:val="16"/>
              </w:rPr>
              <w:t>SLC27A2_9860</w:t>
            </w:r>
          </w:p>
        </w:tc>
        <w:tc>
          <w:tcPr>
            <w:tcW w:w="1338" w:type="dxa"/>
            <w:vAlign w:val="center"/>
            <w:hideMark/>
          </w:tcPr>
          <w:p w14:paraId="3BAA9EB7" w14:textId="77777777" w:rsidR="00020E4F" w:rsidRDefault="00020E4F">
            <w:pPr>
              <w:pStyle w:val="bmdsTblBody"/>
              <w:jc w:val="center"/>
            </w:pPr>
            <w:r>
              <w:rPr>
                <w:sz w:val="16"/>
              </w:rPr>
              <w:t>36.103 (26.571-51.373)</w:t>
            </w:r>
          </w:p>
        </w:tc>
        <w:tc>
          <w:tcPr>
            <w:tcW w:w="1339" w:type="dxa"/>
            <w:vAlign w:val="center"/>
            <w:hideMark/>
          </w:tcPr>
          <w:p w14:paraId="1B97B769" w14:textId="77777777" w:rsidR="00020E4F" w:rsidRDefault="00020E4F">
            <w:pPr>
              <w:pStyle w:val="bmdsTblBody"/>
              <w:jc w:val="center"/>
            </w:pPr>
            <w:r>
              <w:rPr>
                <w:sz w:val="16"/>
              </w:rPr>
              <w:t>2.3</w:t>
            </w:r>
          </w:p>
        </w:tc>
        <w:tc>
          <w:tcPr>
            <w:tcW w:w="1385" w:type="dxa"/>
            <w:vAlign w:val="center"/>
            <w:hideMark/>
          </w:tcPr>
          <w:p w14:paraId="26640453" w14:textId="77777777" w:rsidR="00020E4F" w:rsidRDefault="00020E4F">
            <w:pPr>
              <w:pStyle w:val="bmdsTblBody"/>
              <w:jc w:val="center"/>
            </w:pPr>
            <w:r>
              <w:rPr>
                <w:sz w:val="16"/>
              </w:rPr>
              <w:t>UP</w:t>
            </w:r>
          </w:p>
        </w:tc>
      </w:tr>
      <w:tr w:rsidR="00020E4F" w14:paraId="57965F13" w14:textId="77777777" w:rsidTr="00020E4F">
        <w:tc>
          <w:tcPr>
            <w:tcW w:w="2003" w:type="dxa"/>
            <w:tcBorders>
              <w:top w:val="nil"/>
              <w:left w:val="nil"/>
              <w:bottom w:val="single" w:sz="2" w:space="0" w:color="000000"/>
              <w:right w:val="nil"/>
            </w:tcBorders>
            <w:vAlign w:val="center"/>
            <w:hideMark/>
          </w:tcPr>
          <w:p w14:paraId="26780737" w14:textId="77777777" w:rsidR="00020E4F" w:rsidRDefault="00020E4F">
            <w:pPr>
              <w:pStyle w:val="bmdsTblBody"/>
            </w:pPr>
            <w:proofErr w:type="spellStart"/>
            <w:r>
              <w:rPr>
                <w:b/>
              </w:rPr>
              <w:t>vnn1</w:t>
            </w:r>
            <w:proofErr w:type="spellEnd"/>
          </w:p>
        </w:tc>
        <w:tc>
          <w:tcPr>
            <w:tcW w:w="1724" w:type="dxa"/>
            <w:tcBorders>
              <w:top w:val="nil"/>
              <w:left w:val="nil"/>
              <w:bottom w:val="single" w:sz="2" w:space="0" w:color="000000"/>
              <w:right w:val="nil"/>
            </w:tcBorders>
            <w:vAlign w:val="center"/>
            <w:hideMark/>
          </w:tcPr>
          <w:p w14:paraId="65B97E41" w14:textId="77777777" w:rsidR="00020E4F" w:rsidRDefault="00020E4F">
            <w:pPr>
              <w:pStyle w:val="bmdsTblBody"/>
              <w:jc w:val="center"/>
            </w:pPr>
            <w:r>
              <w:rPr>
                <w:sz w:val="16"/>
              </w:rPr>
              <w:t>29142</w:t>
            </w:r>
          </w:p>
        </w:tc>
        <w:tc>
          <w:tcPr>
            <w:tcW w:w="1571" w:type="dxa"/>
            <w:tcBorders>
              <w:top w:val="nil"/>
              <w:left w:val="nil"/>
              <w:bottom w:val="single" w:sz="2" w:space="0" w:color="000000"/>
              <w:right w:val="nil"/>
            </w:tcBorders>
            <w:vAlign w:val="center"/>
            <w:hideMark/>
          </w:tcPr>
          <w:p w14:paraId="182D6313" w14:textId="77777777" w:rsidR="00020E4F" w:rsidRDefault="00020E4F">
            <w:pPr>
              <w:pStyle w:val="bmdsTblBody"/>
              <w:jc w:val="center"/>
            </w:pPr>
            <w:r>
              <w:rPr>
                <w:sz w:val="16"/>
              </w:rPr>
              <w:t>VNN1_10157</w:t>
            </w:r>
          </w:p>
        </w:tc>
        <w:tc>
          <w:tcPr>
            <w:tcW w:w="1338" w:type="dxa"/>
            <w:tcBorders>
              <w:top w:val="nil"/>
              <w:left w:val="nil"/>
              <w:bottom w:val="single" w:sz="2" w:space="0" w:color="000000"/>
              <w:right w:val="nil"/>
            </w:tcBorders>
            <w:vAlign w:val="center"/>
            <w:hideMark/>
          </w:tcPr>
          <w:p w14:paraId="203E931E" w14:textId="77777777" w:rsidR="00020E4F" w:rsidRDefault="00020E4F">
            <w:pPr>
              <w:pStyle w:val="bmdsTblBody"/>
              <w:jc w:val="center"/>
            </w:pPr>
            <w:r>
              <w:rPr>
                <w:sz w:val="16"/>
              </w:rPr>
              <w:t>37.026 (30.688-46.324)</w:t>
            </w:r>
          </w:p>
        </w:tc>
        <w:tc>
          <w:tcPr>
            <w:tcW w:w="1339" w:type="dxa"/>
            <w:tcBorders>
              <w:top w:val="nil"/>
              <w:left w:val="nil"/>
              <w:bottom w:val="single" w:sz="2" w:space="0" w:color="000000"/>
              <w:right w:val="nil"/>
            </w:tcBorders>
            <w:vAlign w:val="center"/>
            <w:hideMark/>
          </w:tcPr>
          <w:p w14:paraId="1B9E96C1" w14:textId="77777777" w:rsidR="00020E4F" w:rsidRDefault="00020E4F">
            <w:pPr>
              <w:pStyle w:val="bmdsTblBody"/>
              <w:jc w:val="center"/>
            </w:pPr>
            <w:r>
              <w:rPr>
                <w:sz w:val="16"/>
              </w:rPr>
              <w:t>15.8</w:t>
            </w:r>
          </w:p>
        </w:tc>
        <w:tc>
          <w:tcPr>
            <w:tcW w:w="1385" w:type="dxa"/>
            <w:tcBorders>
              <w:top w:val="nil"/>
              <w:left w:val="nil"/>
              <w:bottom w:val="single" w:sz="2" w:space="0" w:color="000000"/>
              <w:right w:val="nil"/>
            </w:tcBorders>
            <w:vAlign w:val="center"/>
            <w:hideMark/>
          </w:tcPr>
          <w:p w14:paraId="2E0A2E13" w14:textId="77777777" w:rsidR="00020E4F" w:rsidRDefault="00020E4F">
            <w:pPr>
              <w:pStyle w:val="bmdsTblBody"/>
              <w:jc w:val="center"/>
            </w:pPr>
            <w:r>
              <w:rPr>
                <w:sz w:val="16"/>
              </w:rPr>
              <w:t>UP</w:t>
            </w:r>
          </w:p>
        </w:tc>
      </w:tr>
    </w:tbl>
    <w:p w14:paraId="3ECA4361" w14:textId="77777777" w:rsidR="00020E4F" w:rsidRDefault="00020E4F" w:rsidP="00020E4F">
      <w:pPr>
        <w:pStyle w:val="bmdsTblFootnote"/>
        <w:rPr>
          <w:rFonts w:cs="Times New Roman"/>
          <w:color w:val="000000" w:themeColor="text1"/>
          <w:szCs w:val="18"/>
        </w:rPr>
      </w:pPr>
      <w:r>
        <w:rPr>
          <w:rFonts w:cs="Times New Roman"/>
          <w:color w:val="000000" w:themeColor="text1"/>
          <w:szCs w:val="18"/>
        </w:rPr>
        <w:t xml:space="preserve">Descriptions of orthologous human genes are shown due to the increased detail that is available in public resources such as </w:t>
      </w:r>
      <w:proofErr w:type="spellStart"/>
      <w:r>
        <w:rPr>
          <w:rFonts w:cs="Times New Roman"/>
          <w:color w:val="000000" w:themeColor="text1"/>
          <w:szCs w:val="18"/>
        </w:rPr>
        <w:t>UniprotKB</w:t>
      </w:r>
      <w:proofErr w:type="spellEnd"/>
      <w:r>
        <w:rPr>
          <w:rFonts w:cs="Times New Roman"/>
          <w:color w:val="000000" w:themeColor="text1"/>
          <w:szCs w:val="18"/>
        </w:rPr>
        <w:t xml:space="preserve"> (</w:t>
      </w:r>
      <w:hyperlink r:id="rId6" w:history="1">
        <w:r>
          <w:rPr>
            <w:rStyle w:val="Hyperlink"/>
            <w:rFonts w:cs="Times New Roman"/>
            <w:szCs w:val="18"/>
          </w:rPr>
          <w:t>https://www.uniprot.org/uniprot/</w:t>
        </w:r>
      </w:hyperlink>
      <w:r>
        <w:rPr>
          <w:rFonts w:cs="Times New Roman"/>
          <w:color w:val="000000" w:themeColor="text1"/>
          <w:szCs w:val="18"/>
        </w:rPr>
        <w:t>) and Entrez Gene (</w:t>
      </w:r>
      <w:hyperlink r:id="rId7" w:history="1">
        <w:r>
          <w:rPr>
            <w:rStyle w:val="Hyperlink"/>
            <w:rFonts w:cs="Times New Roman"/>
            <w:szCs w:val="18"/>
          </w:rPr>
          <w:t>https://www.ncbi.nlm.nih.gov/gene/</w:t>
        </w:r>
      </w:hyperlink>
      <w:r>
        <w:rPr>
          <w:rFonts w:cs="Times New Roman"/>
          <w:color w:val="000000" w:themeColor="text1"/>
          <w:szCs w:val="18"/>
        </w:rPr>
        <w:t xml:space="preserve">). Human </w:t>
      </w:r>
      <w:proofErr w:type="spellStart"/>
      <w:r>
        <w:rPr>
          <w:rFonts w:cs="Times New Roman"/>
          <w:color w:val="000000" w:themeColor="text1"/>
          <w:szCs w:val="18"/>
        </w:rPr>
        <w:t>UniprotKB</w:t>
      </w:r>
      <w:proofErr w:type="spellEnd"/>
      <w:r>
        <w:rPr>
          <w:rFonts w:cs="Times New Roman"/>
          <w:color w:val="000000" w:themeColor="text1"/>
          <w:szCs w:val="18"/>
        </w:rPr>
        <w:t xml:space="preserve"> was used as primary resource due to the greater breadth of annotation and depth of functional detail that is provided. Rat </w:t>
      </w:r>
      <w:proofErr w:type="spellStart"/>
      <w:r>
        <w:rPr>
          <w:rFonts w:cs="Times New Roman"/>
          <w:color w:val="000000" w:themeColor="text1"/>
          <w:szCs w:val="18"/>
        </w:rPr>
        <w:t>UniprotKB</w:t>
      </w:r>
      <w:proofErr w:type="spellEnd"/>
      <w:r>
        <w:rPr>
          <w:rFonts w:cs="Times New Roman"/>
          <w:color w:val="000000" w:themeColor="text1"/>
          <w:szCs w:val="18"/>
        </w:rPr>
        <w:t xml:space="preserve"> was used as the second resource if the primary source did not provide a detailed description of function. Human Entrez gene summary was used as third resource.  Rat Entrez gene summary was used as the fourth resource.</w:t>
      </w:r>
    </w:p>
    <w:p w14:paraId="7087B428" w14:textId="5C5373AE" w:rsidR="00020E4F" w:rsidRPr="00F30E68" w:rsidRDefault="00020E4F" w:rsidP="00020E4F">
      <w:pPr>
        <w:pStyle w:val="bmdsTblFootnote"/>
        <w:rPr>
          <w:iCs/>
        </w:rPr>
      </w:pPr>
      <w:r>
        <w:rPr>
          <w:b/>
        </w:rPr>
        <w:t>Gene definition version:</w:t>
      </w:r>
      <w:r>
        <w:rPr>
          <w:i/>
        </w:rPr>
        <w:t xml:space="preserve"> </w:t>
      </w:r>
      <w:r w:rsidR="00F30E68" w:rsidRPr="00F30E68">
        <w:rPr>
          <w:iCs/>
        </w:rPr>
        <w:t xml:space="preserve">https://cebs.niehs.nih.gov/cebs/study/002-00600-0002-000-0 </w:t>
      </w:r>
      <w:proofErr w:type="spellStart"/>
      <w:r w:rsidR="00EA52E8">
        <w:rPr>
          <w:iCs/>
        </w:rPr>
        <w:t>V05282021</w:t>
      </w:r>
      <w:proofErr w:type="spellEnd"/>
    </w:p>
    <w:p w14:paraId="21174D28" w14:textId="77777777" w:rsidR="00020E4F" w:rsidRDefault="00020E4F" w:rsidP="00020E4F">
      <w:pPr>
        <w:pStyle w:val="bmdsTblFootnote"/>
      </w:pPr>
      <w:proofErr w:type="spellStart"/>
      <w:r>
        <w:rPr>
          <w:b/>
        </w:rPr>
        <w:t>Gdf15</w:t>
      </w:r>
      <w:proofErr w:type="spellEnd"/>
      <w:r>
        <w:rPr>
          <w:b/>
        </w:rPr>
        <w:t>:</w:t>
      </w:r>
      <w:r>
        <w:rPr>
          <w:i/>
        </w:rPr>
        <w:t xml:space="preserve"> Human </w:t>
      </w:r>
      <w:proofErr w:type="spellStart"/>
      <w:r>
        <w:rPr>
          <w:i/>
        </w:rPr>
        <w:t>Uniprot</w:t>
      </w:r>
      <w:proofErr w:type="spellEnd"/>
      <w:r>
        <w:rPr>
          <w:i/>
        </w:rPr>
        <w:t xml:space="preserve"> function (Human GDF15):</w:t>
      </w:r>
      <w:r>
        <w:t xml:space="preserve"> Regulates food intake, energy expenditure and body weight in response to metabolic and toxin-induced stresses (</w:t>
      </w:r>
      <w:proofErr w:type="spellStart"/>
      <w:r>
        <w:t>PubMed28953886</w:t>
      </w:r>
      <w:proofErr w:type="spellEnd"/>
      <w:r>
        <w:t xml:space="preserve">, </w:t>
      </w:r>
      <w:proofErr w:type="spellStart"/>
      <w:r>
        <w:t>PubMed28846097</w:t>
      </w:r>
      <w:proofErr w:type="spellEnd"/>
      <w:r>
        <w:t xml:space="preserve">, </w:t>
      </w:r>
      <w:proofErr w:type="spellStart"/>
      <w:r>
        <w:t>PubMed28846098</w:t>
      </w:r>
      <w:proofErr w:type="spellEnd"/>
      <w:r>
        <w:t xml:space="preserve">, </w:t>
      </w:r>
      <w:proofErr w:type="spellStart"/>
      <w:r>
        <w:t>PubMed28846099</w:t>
      </w:r>
      <w:proofErr w:type="spellEnd"/>
      <w:r>
        <w:t xml:space="preserve">, </w:t>
      </w:r>
      <w:proofErr w:type="spellStart"/>
      <w:r>
        <w:t>PubMed23468844</w:t>
      </w:r>
      <w:proofErr w:type="spellEnd"/>
      <w:r>
        <w:t xml:space="preserve">, </w:t>
      </w:r>
      <w:proofErr w:type="spellStart"/>
      <w:r>
        <w:t>PubMed29046435</w:t>
      </w:r>
      <w:proofErr w:type="spellEnd"/>
      <w:r>
        <w:t>). Binds to its receptor, GFRAL, and activates GFRAL-expressing neurons localized in the area postrema and nucleus tractus solitarius of the brainstem (</w:t>
      </w:r>
      <w:proofErr w:type="spellStart"/>
      <w:r>
        <w:t>PubMed28953886</w:t>
      </w:r>
      <w:proofErr w:type="spellEnd"/>
      <w:r>
        <w:t xml:space="preserve">, </w:t>
      </w:r>
      <w:proofErr w:type="spellStart"/>
      <w:r>
        <w:t>PubMed28846097</w:t>
      </w:r>
      <w:proofErr w:type="spellEnd"/>
      <w:r>
        <w:t xml:space="preserve">, </w:t>
      </w:r>
      <w:proofErr w:type="spellStart"/>
      <w:r>
        <w:t>PubMed28846098</w:t>
      </w:r>
      <w:proofErr w:type="spellEnd"/>
      <w:r>
        <w:t xml:space="preserve">, </w:t>
      </w:r>
      <w:proofErr w:type="spellStart"/>
      <w:r>
        <w:t>PubMed28846099</w:t>
      </w:r>
      <w:proofErr w:type="spellEnd"/>
      <w:r>
        <w:t xml:space="preserve">). It then triggers the activation of neurons localized within the parabrachial nucleus and central amygdala, which </w:t>
      </w:r>
      <w:proofErr w:type="spellStart"/>
      <w:r>
        <w:t>contitutes</w:t>
      </w:r>
      <w:proofErr w:type="spellEnd"/>
      <w:r>
        <w:t xml:space="preserve"> part of the 'emergency circuit' that shapes feeding responses to stressful conditions (</w:t>
      </w:r>
      <w:proofErr w:type="spellStart"/>
      <w:r>
        <w:t>PubMed28953886</w:t>
      </w:r>
      <w:proofErr w:type="spellEnd"/>
      <w:r>
        <w:t>). On hepatocytes, inhibits growth hormone signaling (By similarity). {</w:t>
      </w:r>
      <w:proofErr w:type="spellStart"/>
      <w:r>
        <w:t>ECO0000250|UniProtKBQ9Z0J7</w:t>
      </w:r>
      <w:proofErr w:type="spellEnd"/>
      <w:r>
        <w:t xml:space="preserve">, </w:t>
      </w:r>
      <w:proofErr w:type="spellStart"/>
      <w:r>
        <w:t>ECO0000269|PubMed23468844</w:t>
      </w:r>
      <w:proofErr w:type="spellEnd"/>
      <w:r>
        <w:t xml:space="preserve">, </w:t>
      </w:r>
      <w:proofErr w:type="spellStart"/>
      <w:r>
        <w:t>ECO0000269|PubMed28846097</w:t>
      </w:r>
      <w:proofErr w:type="spellEnd"/>
      <w:r>
        <w:t xml:space="preserve">, </w:t>
      </w:r>
      <w:proofErr w:type="spellStart"/>
      <w:r>
        <w:t>ECO0000269|PubMed28846098</w:t>
      </w:r>
      <w:proofErr w:type="spellEnd"/>
      <w:r>
        <w:t xml:space="preserve">, </w:t>
      </w:r>
      <w:proofErr w:type="spellStart"/>
      <w:r>
        <w:t>ECO0000269|PubMed28846099</w:t>
      </w:r>
      <w:proofErr w:type="spellEnd"/>
      <w:r>
        <w:t xml:space="preserve">, </w:t>
      </w:r>
      <w:proofErr w:type="spellStart"/>
      <w:r>
        <w:t>ECO0000269|PubMed28953886</w:t>
      </w:r>
      <w:proofErr w:type="spellEnd"/>
      <w:r>
        <w:t xml:space="preserve">, </w:t>
      </w:r>
      <w:proofErr w:type="spellStart"/>
      <w:r>
        <w:t>ECO0000269|PubMed29046435</w:t>
      </w:r>
      <w:proofErr w:type="spellEnd"/>
      <w:r>
        <w:t>}.</w:t>
      </w:r>
    </w:p>
    <w:p w14:paraId="15F7BD4B" w14:textId="77777777" w:rsidR="00020E4F" w:rsidRDefault="00020E4F" w:rsidP="00020E4F">
      <w:pPr>
        <w:pStyle w:val="bmdsTblFootnote"/>
      </w:pPr>
      <w:proofErr w:type="spellStart"/>
      <w:r>
        <w:rPr>
          <w:b/>
        </w:rPr>
        <w:t>Igfbp1</w:t>
      </w:r>
      <w:proofErr w:type="spellEnd"/>
      <w:r>
        <w:rPr>
          <w:b/>
        </w:rPr>
        <w:t>:</w:t>
      </w:r>
      <w:r>
        <w:rPr>
          <w:i/>
        </w:rPr>
        <w:t xml:space="preserve"> Human </w:t>
      </w:r>
      <w:proofErr w:type="spellStart"/>
      <w:r>
        <w:rPr>
          <w:i/>
        </w:rPr>
        <w:t>Uniprot</w:t>
      </w:r>
      <w:proofErr w:type="spellEnd"/>
      <w:r>
        <w:rPr>
          <w:i/>
        </w:rPr>
        <w:t xml:space="preserve"> function (Human IGFBP1):</w:t>
      </w:r>
      <w:r>
        <w:t xml:space="preserve"> IGF-binding proteins prolong the half-life of the IGFs and have been shown to either inhibit or stimulate the growth promoting effects of the IGFs on cell culture. They alter the interaction of IGFs with their cell surface receptors. Promotes cell migration. {</w:t>
      </w:r>
      <w:proofErr w:type="spellStart"/>
      <w:r>
        <w:t>ECO0000269|PubMed15972819</w:t>
      </w:r>
      <w:proofErr w:type="spellEnd"/>
      <w:r>
        <w:t>}.</w:t>
      </w:r>
    </w:p>
    <w:p w14:paraId="5C259DD7" w14:textId="77777777" w:rsidR="00020E4F" w:rsidRDefault="00020E4F" w:rsidP="00020E4F">
      <w:pPr>
        <w:pStyle w:val="bmdsTblFootnote"/>
      </w:pPr>
      <w:proofErr w:type="spellStart"/>
      <w:r>
        <w:rPr>
          <w:b/>
        </w:rPr>
        <w:t>Eci1</w:t>
      </w:r>
      <w:proofErr w:type="spellEnd"/>
      <w:r>
        <w:rPr>
          <w:b/>
        </w:rPr>
        <w:t>:</w:t>
      </w:r>
      <w:r>
        <w:rPr>
          <w:i/>
        </w:rPr>
        <w:t xml:space="preserve"> Human </w:t>
      </w:r>
      <w:proofErr w:type="spellStart"/>
      <w:r>
        <w:rPr>
          <w:i/>
        </w:rPr>
        <w:t>Uniprot</w:t>
      </w:r>
      <w:proofErr w:type="spellEnd"/>
      <w:r>
        <w:rPr>
          <w:i/>
        </w:rPr>
        <w:t xml:space="preserve"> function (Human ECI1):</w:t>
      </w:r>
      <w:r>
        <w:t xml:space="preserve"> Able to isomerize both 3-cis and 3-trans double bonds into the 2-trans form in a range of enoyl-CoA species. {</w:t>
      </w:r>
      <w:proofErr w:type="spellStart"/>
      <w:r>
        <w:t>ECO0000269|PubMed7818490</w:t>
      </w:r>
      <w:proofErr w:type="spellEnd"/>
      <w:r>
        <w:t>}.</w:t>
      </w:r>
    </w:p>
    <w:p w14:paraId="2A2538C5" w14:textId="77777777" w:rsidR="00020E4F" w:rsidRDefault="00020E4F" w:rsidP="00020E4F">
      <w:pPr>
        <w:pStyle w:val="bmdsTblFootnote"/>
      </w:pPr>
      <w:proofErr w:type="spellStart"/>
      <w:r>
        <w:rPr>
          <w:b/>
        </w:rPr>
        <w:t>Etfdh</w:t>
      </w:r>
      <w:proofErr w:type="spellEnd"/>
      <w:r>
        <w:rPr>
          <w:b/>
        </w:rPr>
        <w:t>:</w:t>
      </w:r>
      <w:r>
        <w:rPr>
          <w:i/>
        </w:rPr>
        <w:t xml:space="preserve"> Human </w:t>
      </w:r>
      <w:proofErr w:type="spellStart"/>
      <w:r>
        <w:rPr>
          <w:i/>
        </w:rPr>
        <w:t>Uniprot</w:t>
      </w:r>
      <w:proofErr w:type="spellEnd"/>
      <w:r>
        <w:rPr>
          <w:i/>
        </w:rPr>
        <w:t xml:space="preserve"> function (Human ETFDH):</w:t>
      </w:r>
      <w:r>
        <w:t xml:space="preserve"> Accepts electrons from ETF and reduces ubiquinone.</w:t>
      </w:r>
    </w:p>
    <w:p w14:paraId="70FF941D" w14:textId="77777777" w:rsidR="00020E4F" w:rsidRDefault="00020E4F" w:rsidP="00020E4F">
      <w:pPr>
        <w:pStyle w:val="bmdsTblFootnote"/>
      </w:pPr>
      <w:proofErr w:type="spellStart"/>
      <w:r>
        <w:rPr>
          <w:b/>
        </w:rPr>
        <w:t>Cyp2b1</w:t>
      </w:r>
      <w:proofErr w:type="spellEnd"/>
      <w:r>
        <w:rPr>
          <w:b/>
        </w:rPr>
        <w:t>:</w:t>
      </w:r>
      <w:r>
        <w:rPr>
          <w:i/>
        </w:rPr>
        <w:t xml:space="preserve"> Human </w:t>
      </w:r>
      <w:proofErr w:type="spellStart"/>
      <w:r>
        <w:rPr>
          <w:i/>
        </w:rPr>
        <w:t>Uniprot</w:t>
      </w:r>
      <w:proofErr w:type="spellEnd"/>
      <w:r>
        <w:rPr>
          <w:i/>
        </w:rPr>
        <w:t xml:space="preserve"> function (Human CYP2B6):</w:t>
      </w:r>
      <w:r>
        <w:t xml:space="preserve"> A cytochrome </w:t>
      </w:r>
      <w:proofErr w:type="spellStart"/>
      <w:r>
        <w:t>P450</w:t>
      </w:r>
      <w:proofErr w:type="spellEnd"/>
      <w:r>
        <w:t xml:space="preserve"> monooxygenase involved in the metabolism of endocannabinoids and steroids (</w:t>
      </w:r>
      <w:proofErr w:type="spellStart"/>
      <w:r>
        <w:t>PubMed21289075</w:t>
      </w:r>
      <w:proofErr w:type="spellEnd"/>
      <w:r>
        <w:t xml:space="preserve">, </w:t>
      </w:r>
      <w:proofErr w:type="spellStart"/>
      <w:r>
        <w:t>PubMed12865317</w:t>
      </w:r>
      <w:proofErr w:type="spellEnd"/>
      <w:r>
        <w:t xml:space="preserve">). Mechanistically, uses molecular oxygen inserting one oxygen atom into a substrate, and reducing the second into a water molecule, with two electrons provided by NADPH via cytochrome </w:t>
      </w:r>
      <w:proofErr w:type="spellStart"/>
      <w:r>
        <w:t>P450</w:t>
      </w:r>
      <w:proofErr w:type="spellEnd"/>
      <w:r>
        <w:t xml:space="preserve"> reductase (NADPH--hemoprotein reductase). Catalyzes the epoxidation of double bonds of arachidonoylethanolamide (anandamide) to 8,9-, 11,12-, and 14,15-</w:t>
      </w:r>
      <w:proofErr w:type="spellStart"/>
      <w:r>
        <w:t>epoxyeicosatrienoic</w:t>
      </w:r>
      <w:proofErr w:type="spellEnd"/>
      <w:r>
        <w:t xml:space="preserve"> acid </w:t>
      </w:r>
      <w:proofErr w:type="spellStart"/>
      <w:r>
        <w:t>ethanolamides</w:t>
      </w:r>
      <w:proofErr w:type="spellEnd"/>
      <w:r>
        <w:t xml:space="preserve"> (</w:t>
      </w:r>
      <w:proofErr w:type="spellStart"/>
      <w:r>
        <w:t>EpETrE</w:t>
      </w:r>
      <w:proofErr w:type="spellEnd"/>
      <w:r>
        <w:t>-EAs), potentially modulating endocannabinoid system signaling (</w:t>
      </w:r>
      <w:proofErr w:type="spellStart"/>
      <w:r>
        <w:t>PubMed21289075</w:t>
      </w:r>
      <w:proofErr w:type="spellEnd"/>
      <w:r>
        <w:t>). Hydroxylates steroid hormones, including testosterone at C-16 and estrogens at C-2 (</w:t>
      </w:r>
      <w:proofErr w:type="spellStart"/>
      <w:r>
        <w:t>PubMed21289075</w:t>
      </w:r>
      <w:proofErr w:type="spellEnd"/>
      <w:r>
        <w:t xml:space="preserve">, </w:t>
      </w:r>
      <w:proofErr w:type="spellStart"/>
      <w:r>
        <w:t>PubMed12865317</w:t>
      </w:r>
      <w:proofErr w:type="spellEnd"/>
      <w:r>
        <w:t>). Plays a role in the oxidative metabolism of xenobiotics, including plant lipids and drugs (</w:t>
      </w:r>
      <w:proofErr w:type="spellStart"/>
      <w:r>
        <w:t>PubMed11695850</w:t>
      </w:r>
      <w:proofErr w:type="spellEnd"/>
      <w:r>
        <w:t xml:space="preserve">, </w:t>
      </w:r>
      <w:proofErr w:type="spellStart"/>
      <w:r>
        <w:t>PubMed22909231</w:t>
      </w:r>
      <w:proofErr w:type="spellEnd"/>
      <w:r>
        <w:t>). Acts as a 1,4-cineole 2-</w:t>
      </w:r>
      <w:proofErr w:type="spellStart"/>
      <w:r>
        <w:t>exo</w:t>
      </w:r>
      <w:proofErr w:type="spellEnd"/>
      <w:r>
        <w:t>-monooxygenase (</w:t>
      </w:r>
      <w:proofErr w:type="spellStart"/>
      <w:r>
        <w:t>PubMed11695850</w:t>
      </w:r>
      <w:proofErr w:type="spellEnd"/>
      <w:r>
        <w:t>). {</w:t>
      </w:r>
      <w:proofErr w:type="spellStart"/>
      <w:r>
        <w:t>ECO0000269|PubMed11695850</w:t>
      </w:r>
      <w:proofErr w:type="spellEnd"/>
      <w:r>
        <w:t xml:space="preserve">, </w:t>
      </w:r>
      <w:proofErr w:type="spellStart"/>
      <w:r>
        <w:t>ECO0000269|PubMed12865317</w:t>
      </w:r>
      <w:proofErr w:type="spellEnd"/>
      <w:r>
        <w:t xml:space="preserve">, </w:t>
      </w:r>
      <w:proofErr w:type="spellStart"/>
      <w:r>
        <w:t>ECO0000269|PubMed21289075</w:t>
      </w:r>
      <w:proofErr w:type="spellEnd"/>
      <w:r>
        <w:t xml:space="preserve">, </w:t>
      </w:r>
      <w:proofErr w:type="spellStart"/>
      <w:r>
        <w:t>ECO0000269|PubMed22909231</w:t>
      </w:r>
      <w:proofErr w:type="spellEnd"/>
      <w:r>
        <w:t xml:space="preserve">}.; FUNCTION Allele </w:t>
      </w:r>
      <w:proofErr w:type="spellStart"/>
      <w:r>
        <w:t>2B6</w:t>
      </w:r>
      <w:proofErr w:type="spellEnd"/>
      <w:r>
        <w:t xml:space="preserve">*9 Has low affinity for anandamide and can only produce 11,12 </w:t>
      </w:r>
      <w:proofErr w:type="spellStart"/>
      <w:r>
        <w:t>EpETrE</w:t>
      </w:r>
      <w:proofErr w:type="spellEnd"/>
      <w:r>
        <w:t>-EAs. {</w:t>
      </w:r>
      <w:proofErr w:type="spellStart"/>
      <w:r>
        <w:t>ECO0000269|PubMed21289075</w:t>
      </w:r>
      <w:proofErr w:type="spellEnd"/>
      <w:r>
        <w:t>}.</w:t>
      </w:r>
    </w:p>
    <w:p w14:paraId="17E1FF5E" w14:textId="77777777" w:rsidR="00020E4F" w:rsidRDefault="00020E4F" w:rsidP="00020E4F">
      <w:pPr>
        <w:pStyle w:val="bmdsTblFootnote"/>
      </w:pPr>
      <w:r>
        <w:rPr>
          <w:b/>
        </w:rPr>
        <w:t>LOC108348266:</w:t>
      </w:r>
      <w:r>
        <w:rPr>
          <w:i/>
        </w:rPr>
        <w:t xml:space="preserve"> Human </w:t>
      </w:r>
      <w:proofErr w:type="spellStart"/>
      <w:r>
        <w:rPr>
          <w:i/>
        </w:rPr>
        <w:t>Uniprot</w:t>
      </w:r>
      <w:proofErr w:type="spellEnd"/>
      <w:r>
        <w:rPr>
          <w:i/>
        </w:rPr>
        <w:t xml:space="preserve"> function (Human CYP2B6):</w:t>
      </w:r>
      <w:r>
        <w:t xml:space="preserve"> A cytochrome </w:t>
      </w:r>
      <w:proofErr w:type="spellStart"/>
      <w:r>
        <w:t>P450</w:t>
      </w:r>
      <w:proofErr w:type="spellEnd"/>
      <w:r>
        <w:t xml:space="preserve"> monooxygenase involved in the metabolism of endocannabinoids and steroids (</w:t>
      </w:r>
      <w:proofErr w:type="spellStart"/>
      <w:r>
        <w:t>PubMed21289075</w:t>
      </w:r>
      <w:proofErr w:type="spellEnd"/>
      <w:r>
        <w:t xml:space="preserve">, </w:t>
      </w:r>
      <w:proofErr w:type="spellStart"/>
      <w:r>
        <w:t>PubMed12865317</w:t>
      </w:r>
      <w:proofErr w:type="spellEnd"/>
      <w:r>
        <w:t xml:space="preserve">). Mechanistically, uses molecular oxygen inserting one oxygen atom into a substrate, and reducing the second into a water molecule, with two electrons provided by NADPH via cytochrome </w:t>
      </w:r>
      <w:proofErr w:type="spellStart"/>
      <w:r>
        <w:t>P450</w:t>
      </w:r>
      <w:proofErr w:type="spellEnd"/>
      <w:r>
        <w:t xml:space="preserve"> reductase (NADPH--hemoprotein reductase). Catalyzes the epoxidation of double bonds of arachidonoylethanolamide (anandamide) to 8,9-, 11,12-, and 14,15-</w:t>
      </w:r>
      <w:proofErr w:type="spellStart"/>
      <w:r>
        <w:t>epoxyeicosatrienoic</w:t>
      </w:r>
      <w:proofErr w:type="spellEnd"/>
      <w:r>
        <w:t xml:space="preserve"> acid </w:t>
      </w:r>
      <w:proofErr w:type="spellStart"/>
      <w:r>
        <w:t>ethanolamides</w:t>
      </w:r>
      <w:proofErr w:type="spellEnd"/>
      <w:r>
        <w:t xml:space="preserve"> (</w:t>
      </w:r>
      <w:proofErr w:type="spellStart"/>
      <w:r>
        <w:t>EpETrE</w:t>
      </w:r>
      <w:proofErr w:type="spellEnd"/>
      <w:r>
        <w:t>-EAs), potentially modulating endocannabinoid system signaling (</w:t>
      </w:r>
      <w:proofErr w:type="spellStart"/>
      <w:r>
        <w:t>PubMed21289075</w:t>
      </w:r>
      <w:proofErr w:type="spellEnd"/>
      <w:r>
        <w:t>). Hydroxylates steroid hormones, including testosterone at C-16 and estrogens at C-2 (</w:t>
      </w:r>
      <w:proofErr w:type="spellStart"/>
      <w:r>
        <w:t>PubMed21289075</w:t>
      </w:r>
      <w:proofErr w:type="spellEnd"/>
      <w:r>
        <w:t xml:space="preserve">, </w:t>
      </w:r>
      <w:proofErr w:type="spellStart"/>
      <w:r>
        <w:t>PubMed12865317</w:t>
      </w:r>
      <w:proofErr w:type="spellEnd"/>
      <w:r>
        <w:t xml:space="preserve">). Plays a role in the oxidative metabolism of </w:t>
      </w:r>
      <w:r>
        <w:lastRenderedPageBreak/>
        <w:t>xenobiotics, including plant lipids and drugs (</w:t>
      </w:r>
      <w:proofErr w:type="spellStart"/>
      <w:r>
        <w:t>PubMed11695850</w:t>
      </w:r>
      <w:proofErr w:type="spellEnd"/>
      <w:r>
        <w:t xml:space="preserve">, </w:t>
      </w:r>
      <w:proofErr w:type="spellStart"/>
      <w:r>
        <w:t>PubMed22909231</w:t>
      </w:r>
      <w:proofErr w:type="spellEnd"/>
      <w:r>
        <w:t>). Acts as a 1,4-cineole 2-</w:t>
      </w:r>
      <w:proofErr w:type="spellStart"/>
      <w:r>
        <w:t>exo</w:t>
      </w:r>
      <w:proofErr w:type="spellEnd"/>
      <w:r>
        <w:t>-monooxygenase (</w:t>
      </w:r>
      <w:proofErr w:type="spellStart"/>
      <w:r>
        <w:t>PubMed11695850</w:t>
      </w:r>
      <w:proofErr w:type="spellEnd"/>
      <w:r>
        <w:t>). CP2B6_</w:t>
      </w:r>
      <w:proofErr w:type="gramStart"/>
      <w:r>
        <w:t>HUMAN,P</w:t>
      </w:r>
      <w:proofErr w:type="gramEnd"/>
      <w:r>
        <w:t>20813</w:t>
      </w:r>
    </w:p>
    <w:p w14:paraId="540E831A" w14:textId="77777777" w:rsidR="00020E4F" w:rsidRDefault="00020E4F" w:rsidP="00020E4F">
      <w:pPr>
        <w:pStyle w:val="bmdsTblFootnote"/>
      </w:pPr>
      <w:proofErr w:type="spellStart"/>
      <w:r>
        <w:rPr>
          <w:b/>
        </w:rPr>
        <w:t>Dhrs7</w:t>
      </w:r>
      <w:proofErr w:type="spellEnd"/>
      <w:r>
        <w:rPr>
          <w:b/>
        </w:rPr>
        <w:t>:</w:t>
      </w:r>
      <w:r>
        <w:rPr>
          <w:i/>
        </w:rPr>
        <w:t xml:space="preserve"> Human Entrez Gene Summary (Human DHRS7):</w:t>
      </w:r>
      <w:r>
        <w:t xml:space="preserve"> This gene encodes a member of the short-chain dehydrogenases/reductases (SDR) family, which has over 46,000 members. Members in this family are enzymes that metabolize many different compounds, such as steroid hormones, prostaglandins, retinoids, </w:t>
      </w:r>
      <w:proofErr w:type="gramStart"/>
      <w:r>
        <w:t>lipids</w:t>
      </w:r>
      <w:proofErr w:type="gramEnd"/>
      <w:r>
        <w:t xml:space="preserve"> and xenobiotics. [provided by </w:t>
      </w:r>
      <w:proofErr w:type="spellStart"/>
      <w:r>
        <w:t>RefSeq</w:t>
      </w:r>
      <w:proofErr w:type="spellEnd"/>
      <w:r>
        <w:t>, Apr 2016]</w:t>
      </w:r>
    </w:p>
    <w:p w14:paraId="4BC86100" w14:textId="77777777" w:rsidR="00020E4F" w:rsidRDefault="00020E4F" w:rsidP="00020E4F">
      <w:pPr>
        <w:pStyle w:val="bmdsTblFootnote"/>
      </w:pPr>
      <w:proofErr w:type="spellStart"/>
      <w:r>
        <w:rPr>
          <w:b/>
        </w:rPr>
        <w:t>Dhrs7l1</w:t>
      </w:r>
      <w:proofErr w:type="spellEnd"/>
      <w:r>
        <w:rPr>
          <w:b/>
        </w:rPr>
        <w:t>:</w:t>
      </w:r>
      <w:r>
        <w:rPr>
          <w:i/>
        </w:rPr>
        <w:t xml:space="preserve"> Human Entrez Gene Summary (Human DHRS7):</w:t>
      </w:r>
      <w:r>
        <w:t xml:space="preserve"> This gene encodes a member of the short-chain dehydrogenases/reductases (SDR) family, which has over 46,000 members. Members in this family are enzymes that metabolize many different compounds, such as steroid hormones, prostaglandins, retinoids, </w:t>
      </w:r>
      <w:proofErr w:type="gramStart"/>
      <w:r>
        <w:t>lipids</w:t>
      </w:r>
      <w:proofErr w:type="gramEnd"/>
      <w:r>
        <w:t xml:space="preserve"> and xenobiotics. [provided by </w:t>
      </w:r>
      <w:proofErr w:type="spellStart"/>
      <w:r>
        <w:t>RefSeq</w:t>
      </w:r>
      <w:proofErr w:type="spellEnd"/>
      <w:r>
        <w:t>, Apr 2016]</w:t>
      </w:r>
    </w:p>
    <w:p w14:paraId="613E0DB2" w14:textId="77777777" w:rsidR="00020E4F" w:rsidRDefault="00020E4F" w:rsidP="00020E4F">
      <w:pPr>
        <w:pStyle w:val="bmdsTblFootnote"/>
      </w:pPr>
      <w:proofErr w:type="spellStart"/>
      <w:r>
        <w:rPr>
          <w:b/>
        </w:rPr>
        <w:t>Slc27a2</w:t>
      </w:r>
      <w:proofErr w:type="spellEnd"/>
      <w:r>
        <w:rPr>
          <w:b/>
        </w:rPr>
        <w:t>:</w:t>
      </w:r>
      <w:r>
        <w:rPr>
          <w:i/>
        </w:rPr>
        <w:t xml:space="preserve"> Human </w:t>
      </w:r>
      <w:proofErr w:type="spellStart"/>
      <w:r>
        <w:rPr>
          <w:i/>
        </w:rPr>
        <w:t>Uniprot</w:t>
      </w:r>
      <w:proofErr w:type="spellEnd"/>
      <w:r>
        <w:rPr>
          <w:i/>
        </w:rPr>
        <w:t xml:space="preserve"> function (Human SLC27A2):</w:t>
      </w:r>
      <w:r>
        <w:t xml:space="preserve"> Acyl CoA synthetase that activates long-chain and very long-chain fatty acids (VLCFAs) by catalyzing the formation of fatty acyl-CoA (</w:t>
      </w:r>
      <w:proofErr w:type="spellStart"/>
      <w:r>
        <w:t>PubMed10198260</w:t>
      </w:r>
      <w:proofErr w:type="spellEnd"/>
      <w:r>
        <w:t xml:space="preserve">, </w:t>
      </w:r>
      <w:proofErr w:type="spellStart"/>
      <w:r>
        <w:t>PubMed10749848</w:t>
      </w:r>
      <w:proofErr w:type="spellEnd"/>
      <w:r>
        <w:t xml:space="preserve">, </w:t>
      </w:r>
      <w:proofErr w:type="spellStart"/>
      <w:r>
        <w:t>PubMed11980911</w:t>
      </w:r>
      <w:proofErr w:type="spellEnd"/>
      <w:r>
        <w:t xml:space="preserve">). Can also activate branched-chain fatty acids such as phytanic acid and </w:t>
      </w:r>
      <w:proofErr w:type="spellStart"/>
      <w:r>
        <w:t>pristanic</w:t>
      </w:r>
      <w:proofErr w:type="spellEnd"/>
      <w:r>
        <w:t xml:space="preserve"> acid (</w:t>
      </w:r>
      <w:proofErr w:type="spellStart"/>
      <w:r>
        <w:t>PubMed10198260</w:t>
      </w:r>
      <w:proofErr w:type="spellEnd"/>
      <w:r>
        <w:t xml:space="preserve">). Does not activate </w:t>
      </w:r>
      <w:proofErr w:type="spellStart"/>
      <w:r>
        <w:t>C24</w:t>
      </w:r>
      <w:proofErr w:type="spellEnd"/>
      <w:r>
        <w:t xml:space="preserve"> bile acids, cholate and chenodeoxycholate (</w:t>
      </w:r>
      <w:proofErr w:type="spellStart"/>
      <w:r>
        <w:t>PubMed11980911</w:t>
      </w:r>
      <w:proofErr w:type="spellEnd"/>
      <w:r>
        <w:t>). In vitro, activates 3-</w:t>
      </w:r>
      <w:proofErr w:type="spellStart"/>
      <w:r>
        <w:t>alpha,7</w:t>
      </w:r>
      <w:proofErr w:type="spellEnd"/>
      <w:r>
        <w:t>-</w:t>
      </w:r>
      <w:proofErr w:type="spellStart"/>
      <w:r>
        <w:t>alpha,12</w:t>
      </w:r>
      <w:proofErr w:type="spellEnd"/>
      <w:r>
        <w:t>-alpha-trihydroxy-5-beta-</w:t>
      </w:r>
      <w:proofErr w:type="spellStart"/>
      <w:r>
        <w:t>cholestanate</w:t>
      </w:r>
      <w:proofErr w:type="spellEnd"/>
      <w:r>
        <w:t xml:space="preserve"> (THCA), the </w:t>
      </w:r>
      <w:proofErr w:type="spellStart"/>
      <w:r>
        <w:t>C27</w:t>
      </w:r>
      <w:proofErr w:type="spellEnd"/>
      <w:r>
        <w:t xml:space="preserve"> precursor of cholic acid deriving from the de novo synthesis from cholesterol (</w:t>
      </w:r>
      <w:proofErr w:type="spellStart"/>
      <w:r>
        <w:t>PubMed11980911</w:t>
      </w:r>
      <w:proofErr w:type="spellEnd"/>
      <w:r>
        <w:t>). Exhibits long-chain fatty acids (LCFA) transport activity and plays an important role in hepatic fatty acid uptake (</w:t>
      </w:r>
      <w:proofErr w:type="spellStart"/>
      <w:r>
        <w:t>PubMed20530735</w:t>
      </w:r>
      <w:proofErr w:type="spellEnd"/>
      <w:r>
        <w:t>). {</w:t>
      </w:r>
      <w:proofErr w:type="spellStart"/>
      <w:r>
        <w:t>ECO0000269|PubMed10198260</w:t>
      </w:r>
      <w:proofErr w:type="spellEnd"/>
      <w:r>
        <w:t xml:space="preserve">, </w:t>
      </w:r>
      <w:proofErr w:type="spellStart"/>
      <w:r>
        <w:t>ECO0000269|PubMed10749848</w:t>
      </w:r>
      <w:proofErr w:type="spellEnd"/>
      <w:r>
        <w:t xml:space="preserve">, </w:t>
      </w:r>
      <w:proofErr w:type="spellStart"/>
      <w:r>
        <w:t>ECO0000269|PubMed11980911</w:t>
      </w:r>
      <w:proofErr w:type="spellEnd"/>
      <w:r>
        <w:t xml:space="preserve">, </w:t>
      </w:r>
      <w:proofErr w:type="spellStart"/>
      <w:r>
        <w:t>ECO0000269|PubMed20530735</w:t>
      </w:r>
      <w:proofErr w:type="spellEnd"/>
      <w:r>
        <w:t>}.; FUNCTION [Isoform 1] Exhibits both long-chain fatty acids (LCFA) transport activity and acyl CoA synthetase towards very long-chain fatty acids (</w:t>
      </w:r>
      <w:proofErr w:type="spellStart"/>
      <w:r>
        <w:t>PubMed21768100</w:t>
      </w:r>
      <w:proofErr w:type="spellEnd"/>
      <w:r>
        <w:t>). Shows a preference for generating CoA derivatives of n-3 fatty acids, which are preferentially trafficked into phosphatidylinositol (</w:t>
      </w:r>
      <w:proofErr w:type="spellStart"/>
      <w:r>
        <w:t>PubMed21768100</w:t>
      </w:r>
      <w:proofErr w:type="spellEnd"/>
      <w:r>
        <w:t>). {</w:t>
      </w:r>
      <w:proofErr w:type="spellStart"/>
      <w:r>
        <w:t>ECO0000269|PubMed21768100</w:t>
      </w:r>
      <w:proofErr w:type="spellEnd"/>
      <w:r>
        <w:t>}.; FUNCTION [Isoform 2] Exhibits long-chain fatty acids (LCFA) transport activity but lacks acyl CoA synthetase towards very long-chain fatty acids. {</w:t>
      </w:r>
      <w:proofErr w:type="spellStart"/>
      <w:r>
        <w:t>ECO0000269|PubMed21768100</w:t>
      </w:r>
      <w:proofErr w:type="spellEnd"/>
      <w:r>
        <w:t>}.</w:t>
      </w:r>
    </w:p>
    <w:p w14:paraId="24A0578F" w14:textId="77777777" w:rsidR="00020E4F" w:rsidRDefault="00020E4F" w:rsidP="00020E4F">
      <w:pPr>
        <w:pStyle w:val="bmdsTblFootnote"/>
      </w:pPr>
      <w:proofErr w:type="spellStart"/>
      <w:r>
        <w:rPr>
          <w:b/>
        </w:rPr>
        <w:t>Vnn1</w:t>
      </w:r>
      <w:proofErr w:type="spellEnd"/>
      <w:r>
        <w:rPr>
          <w:b/>
        </w:rPr>
        <w:t>:</w:t>
      </w:r>
      <w:r>
        <w:rPr>
          <w:i/>
        </w:rPr>
        <w:t xml:space="preserve"> Human </w:t>
      </w:r>
      <w:proofErr w:type="spellStart"/>
      <w:r>
        <w:rPr>
          <w:i/>
        </w:rPr>
        <w:t>Uniprot</w:t>
      </w:r>
      <w:proofErr w:type="spellEnd"/>
      <w:r>
        <w:rPr>
          <w:i/>
        </w:rPr>
        <w:t xml:space="preserve"> function (Human VNN1):</w:t>
      </w:r>
      <w:r>
        <w:t xml:space="preserve"> Amidohydrolase that hydrolyzes specifically one of the </w:t>
      </w:r>
      <w:proofErr w:type="spellStart"/>
      <w:r>
        <w:t>carboamide</w:t>
      </w:r>
      <w:proofErr w:type="spellEnd"/>
      <w:r>
        <w:t xml:space="preserve"> linkages in D-pantetheine thus recycling pantothenic acid (vitamin </w:t>
      </w:r>
      <w:proofErr w:type="spellStart"/>
      <w:r>
        <w:t>B5</w:t>
      </w:r>
      <w:proofErr w:type="spellEnd"/>
      <w:r>
        <w:t>) and releasing cysteamine. {</w:t>
      </w:r>
      <w:proofErr w:type="spellStart"/>
      <w:r>
        <w:t>ECO0000269|PubMed10567687</w:t>
      </w:r>
      <w:proofErr w:type="spellEnd"/>
      <w:r>
        <w:t xml:space="preserve">, </w:t>
      </w:r>
      <w:proofErr w:type="spellStart"/>
      <w:r>
        <w:t>ECO0000269|PubMed11491533</w:t>
      </w:r>
      <w:proofErr w:type="spellEnd"/>
      <w:r>
        <w:t xml:space="preserve">, </w:t>
      </w:r>
      <w:proofErr w:type="spellStart"/>
      <w:r>
        <w:t>ECO0000269|PubMed25478849</w:t>
      </w:r>
      <w:proofErr w:type="spellEnd"/>
      <w:r>
        <w:t>}.</w:t>
      </w:r>
    </w:p>
    <w:p w14:paraId="5A61E1CA" w14:textId="77777777" w:rsidR="00C505B6" w:rsidRDefault="00EA52E8"/>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01"/>
    <w:rsid w:val="00020E4F"/>
    <w:rsid w:val="001E7A01"/>
    <w:rsid w:val="0021102E"/>
    <w:rsid w:val="00EA52E8"/>
    <w:rsid w:val="00F30E68"/>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EE1A9-1411-4C2B-97F4-24179EF7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4F"/>
    <w:pPr>
      <w:spacing w:after="0" w:line="240" w:lineRule="auto"/>
    </w:pPr>
    <w:rPr>
      <w:sz w:val="24"/>
      <w:szCs w:val="24"/>
    </w:rPr>
  </w:style>
  <w:style w:type="paragraph" w:styleId="Heading3">
    <w:name w:val="heading 3"/>
    <w:basedOn w:val="Normal"/>
    <w:next w:val="Normal"/>
    <w:link w:val="Heading3Char"/>
    <w:uiPriority w:val="9"/>
    <w:semiHidden/>
    <w:unhideWhenUsed/>
    <w:qFormat/>
    <w:rsid w:val="00020E4F"/>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20E4F"/>
    <w:rPr>
      <w:rFonts w:eastAsiaTheme="majorEastAsia" w:cstheme="majorBidi"/>
      <w:b/>
      <w:color w:val="000000" w:themeColor="text1"/>
      <w:sz w:val="24"/>
      <w:szCs w:val="24"/>
    </w:rPr>
  </w:style>
  <w:style w:type="character" w:styleId="Hyperlink">
    <w:name w:val="Hyperlink"/>
    <w:basedOn w:val="DefaultParagraphFont"/>
    <w:uiPriority w:val="99"/>
    <w:semiHidden/>
    <w:unhideWhenUsed/>
    <w:rsid w:val="00020E4F"/>
    <w:rPr>
      <w:color w:val="0563C1"/>
      <w:u w:val="single"/>
    </w:rPr>
  </w:style>
  <w:style w:type="paragraph" w:customStyle="1" w:styleId="bmdsTblBody">
    <w:name w:val="bmdsTblBody"/>
    <w:basedOn w:val="Normal"/>
    <w:qFormat/>
    <w:rsid w:val="00020E4F"/>
    <w:rPr>
      <w:rFonts w:ascii="Times New Roman" w:hAnsi="Times New Roman"/>
      <w:sz w:val="18"/>
    </w:rPr>
  </w:style>
  <w:style w:type="paragraph" w:customStyle="1" w:styleId="bmdsTblFootnote">
    <w:name w:val="bmdsTblFootnote"/>
    <w:basedOn w:val="bmdsTblBody"/>
    <w:qFormat/>
    <w:rsid w:val="00020E4F"/>
  </w:style>
  <w:style w:type="paragraph" w:customStyle="1" w:styleId="bmdsTblHeader">
    <w:name w:val="bmdsTblHeader"/>
    <w:basedOn w:val="bmdsTblBody"/>
    <w:qFormat/>
    <w:rsid w:val="00020E4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2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g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prot.org/uniprot/" TargetMode="External"/><Relationship Id="rId5" Type="http://schemas.openxmlformats.org/officeDocument/2006/relationships/hyperlink" Target="https://www.ncbi.nlm.nih.gov/gene/" TargetMode="External"/><Relationship Id="rId4" Type="http://schemas.openxmlformats.org/officeDocument/2006/relationships/hyperlink" Target="https://www.uniprot.org/unipro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2697</Words>
  <Characters>15375</Characters>
  <Application>Microsoft Office Word</Application>
  <DocSecurity>0</DocSecurity>
  <Lines>128</Lines>
  <Paragraphs>36</Paragraphs>
  <ScaleCrop>false</ScaleCrop>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2021-05-26T07:16:00Z</dcterms:created>
  <dcterms:modified xsi:type="dcterms:W3CDTF">2021-07-29T03:40:00Z</dcterms:modified>
</cp:coreProperties>
</file>