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0D0A" w14:textId="77777777" w:rsidR="0087362F" w:rsidRDefault="0087362F" w:rsidP="0087362F">
      <w:pPr>
        <w:pStyle w:val="Heading3"/>
      </w:pPr>
      <w:r>
        <w:t>Male Kidney Top 10 GO Biological Process Gene Sets Ranked by Potency of Perturbation (Sorted by BMD Median)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2"/>
        <w:gridCol w:w="1521"/>
        <w:gridCol w:w="1060"/>
        <w:gridCol w:w="830"/>
        <w:gridCol w:w="1223"/>
        <w:gridCol w:w="1084"/>
        <w:gridCol w:w="1050"/>
        <w:gridCol w:w="1050"/>
      </w:tblGrid>
      <w:tr w:rsidR="0087362F" w14:paraId="55216864" w14:textId="77777777" w:rsidTr="0087362F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2672BE0" w14:textId="77777777" w:rsidR="0087362F" w:rsidRDefault="0087362F">
            <w:pPr>
              <w:pStyle w:val="bmdsTblBody"/>
            </w:pPr>
            <w:r>
              <w:rPr>
                <w:b/>
              </w:rPr>
              <w:t>Category Name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B0AF1CA" w14:textId="77777777" w:rsidR="0087362F" w:rsidRDefault="0087362F">
            <w:pPr>
              <w:pStyle w:val="bmdsTblHeader"/>
              <w:jc w:val="center"/>
            </w:pPr>
            <w:r>
              <w:t>Input Genes/Platform Genes in Gene Set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DEA9BD1" w14:textId="77777777" w:rsidR="0087362F" w:rsidRDefault="0087362F">
            <w:pPr>
              <w:pStyle w:val="bmdsTblHeader"/>
              <w:jc w:val="center"/>
            </w:pPr>
            <w:r>
              <w:t>% Gene Set Coverage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C6854B3" w14:textId="77777777" w:rsidR="0087362F" w:rsidRDefault="0087362F">
            <w:pPr>
              <w:pStyle w:val="bmdsTblHeader"/>
              <w:jc w:val="center"/>
            </w:pPr>
            <w:r>
              <w:t>Active Genes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9864492" w14:textId="77777777" w:rsidR="0087362F" w:rsidRDefault="0087362F">
            <w:pPr>
              <w:pStyle w:val="bmdsTblHeader"/>
              <w:jc w:val="cent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Median of Gene Set Transcripts (mg/kg)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F018475" w14:textId="77777777" w:rsidR="0087362F" w:rsidRDefault="0087362F">
            <w:pPr>
              <w:pStyle w:val="bmdsTblHeader"/>
              <w:jc w:val="center"/>
            </w:pPr>
            <w:r>
              <w:t xml:space="preserve">Median </w:t>
            </w:r>
            <w:proofErr w:type="spellStart"/>
            <w:r>
              <w:t>BMD</w:t>
            </w:r>
            <w:r>
              <w:rPr>
                <w:vertAlign w:val="subscript"/>
              </w:rPr>
              <w:t>L</w:t>
            </w:r>
            <w:r>
              <w:rPr>
                <w:sz w:val="16"/>
                <w:vertAlign w:val="subscript"/>
              </w:rPr>
              <w:t>1Std</w:t>
            </w:r>
            <w:r>
              <w:t>-BMD</w:t>
            </w:r>
            <w:r>
              <w:rPr>
                <w:vertAlign w:val="subscript"/>
              </w:rPr>
              <w:t>U</w:t>
            </w:r>
            <w:r>
              <w:rPr>
                <w:sz w:val="16"/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8435A2A" w14:textId="77777777" w:rsidR="0087362F" w:rsidRDefault="0087362F">
            <w:pPr>
              <w:pStyle w:val="bmdsTblHeader"/>
              <w:jc w:val="center"/>
            </w:pPr>
            <w:r>
              <w:t>Genes with Changed Direction Up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AE6D90C" w14:textId="77777777" w:rsidR="0087362F" w:rsidRDefault="0087362F">
            <w:pPr>
              <w:pStyle w:val="bmdsTblHeader"/>
              <w:jc w:val="center"/>
            </w:pPr>
            <w:r>
              <w:t>Genes with Changed Direction Down</w:t>
            </w:r>
          </w:p>
        </w:tc>
      </w:tr>
      <w:tr w:rsidR="0087362F" w14:paraId="515F510F" w14:textId="77777777" w:rsidTr="0087362F">
        <w:tc>
          <w:tcPr>
            <w:tcW w:w="8640" w:type="dxa"/>
            <w:vAlign w:val="center"/>
            <w:hideMark/>
          </w:tcPr>
          <w:p w14:paraId="7DAEA5A8" w14:textId="77777777" w:rsidR="0087362F" w:rsidRDefault="0087362F">
            <w:pPr>
              <w:pStyle w:val="bmdsTblBody"/>
            </w:pPr>
            <w:r>
              <w:rPr>
                <w:b/>
              </w:rPr>
              <w:t>GO:0002886</w:t>
            </w:r>
          </w:p>
          <w:p w14:paraId="30161C5D" w14:textId="77777777" w:rsidR="0087362F" w:rsidRDefault="0087362F">
            <w:pPr>
              <w:pStyle w:val="bmdsTblBody"/>
            </w:pPr>
            <w:r>
              <w:t>regulation of myeloid leukocyte mediated immunity</w:t>
            </w:r>
          </w:p>
        </w:tc>
        <w:tc>
          <w:tcPr>
            <w:tcW w:w="3806" w:type="dxa"/>
            <w:vAlign w:val="center"/>
            <w:hideMark/>
          </w:tcPr>
          <w:p w14:paraId="5B4AD8DA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3/28</w:t>
            </w:r>
          </w:p>
        </w:tc>
        <w:tc>
          <w:tcPr>
            <w:tcW w:w="3806" w:type="dxa"/>
            <w:vAlign w:val="center"/>
            <w:hideMark/>
          </w:tcPr>
          <w:p w14:paraId="616DFE75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11%</w:t>
            </w:r>
          </w:p>
        </w:tc>
        <w:tc>
          <w:tcPr>
            <w:tcW w:w="3806" w:type="dxa"/>
            <w:vAlign w:val="center"/>
            <w:hideMark/>
          </w:tcPr>
          <w:p w14:paraId="53C7B17C" w14:textId="77777777" w:rsidR="0087362F" w:rsidRDefault="0087362F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rt1-s3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hmox1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c3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2EF0B9DD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144.319</w:t>
            </w:r>
          </w:p>
        </w:tc>
        <w:tc>
          <w:tcPr>
            <w:tcW w:w="3806" w:type="dxa"/>
            <w:vAlign w:val="center"/>
            <w:hideMark/>
          </w:tcPr>
          <w:p w14:paraId="641728A0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57.694-153.260</w:t>
            </w:r>
          </w:p>
        </w:tc>
        <w:tc>
          <w:tcPr>
            <w:tcW w:w="3806" w:type="dxa"/>
            <w:vAlign w:val="center"/>
            <w:hideMark/>
          </w:tcPr>
          <w:p w14:paraId="677E7E0E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806" w:type="dxa"/>
            <w:vAlign w:val="center"/>
            <w:hideMark/>
          </w:tcPr>
          <w:p w14:paraId="7AB6C98E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  <w:tr w:rsidR="0087362F" w14:paraId="6AFC5909" w14:textId="77777777" w:rsidTr="0087362F">
        <w:tc>
          <w:tcPr>
            <w:tcW w:w="8640" w:type="dxa"/>
            <w:vAlign w:val="center"/>
            <w:hideMark/>
          </w:tcPr>
          <w:p w14:paraId="50B58BAF" w14:textId="77777777" w:rsidR="0087362F" w:rsidRDefault="0087362F">
            <w:pPr>
              <w:pStyle w:val="bmdsTblBody"/>
            </w:pPr>
            <w:r>
              <w:rPr>
                <w:b/>
              </w:rPr>
              <w:t>GO:0032570</w:t>
            </w:r>
          </w:p>
          <w:p w14:paraId="5FBC8D3E" w14:textId="77777777" w:rsidR="0087362F" w:rsidRDefault="0087362F">
            <w:pPr>
              <w:pStyle w:val="bmdsTblBody"/>
            </w:pPr>
            <w:r>
              <w:t>response to progesterone</w:t>
            </w:r>
          </w:p>
        </w:tc>
        <w:tc>
          <w:tcPr>
            <w:tcW w:w="3806" w:type="dxa"/>
            <w:vAlign w:val="center"/>
            <w:hideMark/>
          </w:tcPr>
          <w:p w14:paraId="5F83671A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3/40</w:t>
            </w:r>
          </w:p>
        </w:tc>
        <w:tc>
          <w:tcPr>
            <w:tcW w:w="3806" w:type="dxa"/>
            <w:vAlign w:val="center"/>
            <w:hideMark/>
          </w:tcPr>
          <w:p w14:paraId="4F1739A5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8%</w:t>
            </w:r>
          </w:p>
        </w:tc>
        <w:tc>
          <w:tcPr>
            <w:tcW w:w="3806" w:type="dxa"/>
            <w:vAlign w:val="center"/>
            <w:hideMark/>
          </w:tcPr>
          <w:p w14:paraId="490B49AE" w14:textId="77777777" w:rsidR="0087362F" w:rsidRDefault="0087362F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srebf1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map2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c3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511670C7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145.437</w:t>
            </w:r>
          </w:p>
        </w:tc>
        <w:tc>
          <w:tcPr>
            <w:tcW w:w="3806" w:type="dxa"/>
            <w:vAlign w:val="center"/>
            <w:hideMark/>
          </w:tcPr>
          <w:p w14:paraId="64F15097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104.718-237.081</w:t>
            </w:r>
          </w:p>
        </w:tc>
        <w:tc>
          <w:tcPr>
            <w:tcW w:w="3806" w:type="dxa"/>
            <w:vAlign w:val="center"/>
            <w:hideMark/>
          </w:tcPr>
          <w:p w14:paraId="18ADA9F1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806" w:type="dxa"/>
            <w:vAlign w:val="center"/>
            <w:hideMark/>
          </w:tcPr>
          <w:p w14:paraId="595D4A68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  <w:tr w:rsidR="0087362F" w14:paraId="71E350DC" w14:textId="77777777" w:rsidTr="0087362F">
        <w:tc>
          <w:tcPr>
            <w:tcW w:w="8640" w:type="dxa"/>
            <w:vAlign w:val="center"/>
            <w:hideMark/>
          </w:tcPr>
          <w:p w14:paraId="6DF0A5A1" w14:textId="77777777" w:rsidR="0087362F" w:rsidRDefault="0087362F">
            <w:pPr>
              <w:pStyle w:val="bmdsTblBody"/>
            </w:pPr>
            <w:r>
              <w:rPr>
                <w:b/>
              </w:rPr>
              <w:t>GO:0002703</w:t>
            </w:r>
          </w:p>
          <w:p w14:paraId="440EF8F7" w14:textId="77777777" w:rsidR="0087362F" w:rsidRDefault="0087362F">
            <w:pPr>
              <w:pStyle w:val="bmdsTblBody"/>
            </w:pPr>
            <w:r>
              <w:t>regulation of leukocyte mediated immunity</w:t>
            </w:r>
          </w:p>
        </w:tc>
        <w:tc>
          <w:tcPr>
            <w:tcW w:w="3806" w:type="dxa"/>
            <w:vAlign w:val="center"/>
            <w:hideMark/>
          </w:tcPr>
          <w:p w14:paraId="0D71EFBA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4/79</w:t>
            </w:r>
          </w:p>
        </w:tc>
        <w:tc>
          <w:tcPr>
            <w:tcW w:w="3806" w:type="dxa"/>
            <w:vAlign w:val="center"/>
            <w:hideMark/>
          </w:tcPr>
          <w:p w14:paraId="67067DCC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5%</w:t>
            </w:r>
          </w:p>
        </w:tc>
        <w:tc>
          <w:tcPr>
            <w:tcW w:w="3806" w:type="dxa"/>
            <w:vAlign w:val="center"/>
            <w:hideMark/>
          </w:tcPr>
          <w:p w14:paraId="7F14E308" w14:textId="77777777" w:rsidR="0087362F" w:rsidRDefault="0087362F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rt1-s3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il1b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hmox1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c3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5F56A7A2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149.155</w:t>
            </w:r>
          </w:p>
        </w:tc>
        <w:tc>
          <w:tcPr>
            <w:tcW w:w="3806" w:type="dxa"/>
            <w:vAlign w:val="center"/>
            <w:hideMark/>
          </w:tcPr>
          <w:p w14:paraId="1A69EA44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83.579-205.964</w:t>
            </w:r>
          </w:p>
        </w:tc>
        <w:tc>
          <w:tcPr>
            <w:tcW w:w="3806" w:type="dxa"/>
            <w:vAlign w:val="center"/>
            <w:hideMark/>
          </w:tcPr>
          <w:p w14:paraId="6C4CE235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806" w:type="dxa"/>
            <w:vAlign w:val="center"/>
            <w:hideMark/>
          </w:tcPr>
          <w:p w14:paraId="5C8EEB3C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  <w:tr w:rsidR="0087362F" w14:paraId="2A39F0A0" w14:textId="77777777" w:rsidTr="0087362F">
        <w:tc>
          <w:tcPr>
            <w:tcW w:w="8640" w:type="dxa"/>
            <w:vAlign w:val="center"/>
            <w:hideMark/>
          </w:tcPr>
          <w:p w14:paraId="38A1EFA0" w14:textId="77777777" w:rsidR="0087362F" w:rsidRDefault="0087362F">
            <w:pPr>
              <w:pStyle w:val="bmdsTblBody"/>
            </w:pPr>
            <w:r>
              <w:rPr>
                <w:b/>
              </w:rPr>
              <w:t>GO:0002675</w:t>
            </w:r>
          </w:p>
          <w:p w14:paraId="37728F96" w14:textId="77777777" w:rsidR="0087362F" w:rsidRDefault="0087362F">
            <w:pPr>
              <w:pStyle w:val="bmdsTblBody"/>
            </w:pPr>
            <w:r>
              <w:t>positive regulation of acute inflammatory response</w:t>
            </w:r>
          </w:p>
        </w:tc>
        <w:tc>
          <w:tcPr>
            <w:tcW w:w="3806" w:type="dxa"/>
            <w:vAlign w:val="center"/>
            <w:hideMark/>
          </w:tcPr>
          <w:p w14:paraId="40FB4BC1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3/17</w:t>
            </w:r>
          </w:p>
        </w:tc>
        <w:tc>
          <w:tcPr>
            <w:tcW w:w="3806" w:type="dxa"/>
            <w:vAlign w:val="center"/>
            <w:hideMark/>
          </w:tcPr>
          <w:p w14:paraId="0395F1ED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18%</w:t>
            </w:r>
          </w:p>
        </w:tc>
        <w:tc>
          <w:tcPr>
            <w:tcW w:w="3806" w:type="dxa"/>
            <w:vAlign w:val="center"/>
            <w:hideMark/>
          </w:tcPr>
          <w:p w14:paraId="2A6EB72A" w14:textId="77777777" w:rsidR="0087362F" w:rsidRDefault="0087362F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rt1-s3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il1b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c3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74758438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153.991</w:t>
            </w:r>
          </w:p>
        </w:tc>
        <w:tc>
          <w:tcPr>
            <w:tcW w:w="3806" w:type="dxa"/>
            <w:vAlign w:val="center"/>
            <w:hideMark/>
          </w:tcPr>
          <w:p w14:paraId="5B5E60DD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109.464-258.668</w:t>
            </w:r>
          </w:p>
        </w:tc>
        <w:tc>
          <w:tcPr>
            <w:tcW w:w="3806" w:type="dxa"/>
            <w:vAlign w:val="center"/>
            <w:hideMark/>
          </w:tcPr>
          <w:p w14:paraId="4EB6D653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806" w:type="dxa"/>
            <w:vAlign w:val="center"/>
            <w:hideMark/>
          </w:tcPr>
          <w:p w14:paraId="57491866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  <w:tr w:rsidR="0087362F" w14:paraId="08D51954" w14:textId="77777777" w:rsidTr="0087362F">
        <w:tc>
          <w:tcPr>
            <w:tcW w:w="8640" w:type="dxa"/>
            <w:vAlign w:val="center"/>
            <w:hideMark/>
          </w:tcPr>
          <w:p w14:paraId="0BD0EF5D" w14:textId="77777777" w:rsidR="0087362F" w:rsidRDefault="0087362F">
            <w:pPr>
              <w:pStyle w:val="bmdsTblBody"/>
            </w:pPr>
            <w:r>
              <w:rPr>
                <w:b/>
              </w:rPr>
              <w:t>GO:0072347</w:t>
            </w:r>
          </w:p>
          <w:p w14:paraId="697B6FF7" w14:textId="77777777" w:rsidR="0087362F" w:rsidRDefault="0087362F">
            <w:pPr>
              <w:pStyle w:val="bmdsTblBody"/>
            </w:pPr>
            <w:r>
              <w:t>response to anesthetic</w:t>
            </w:r>
          </w:p>
        </w:tc>
        <w:tc>
          <w:tcPr>
            <w:tcW w:w="3806" w:type="dxa"/>
            <w:vAlign w:val="center"/>
            <w:hideMark/>
          </w:tcPr>
          <w:p w14:paraId="3F8344E0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3/44</w:t>
            </w:r>
          </w:p>
        </w:tc>
        <w:tc>
          <w:tcPr>
            <w:tcW w:w="3806" w:type="dxa"/>
            <w:vAlign w:val="center"/>
            <w:hideMark/>
          </w:tcPr>
          <w:p w14:paraId="29F61FAA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7%</w:t>
            </w:r>
          </w:p>
        </w:tc>
        <w:tc>
          <w:tcPr>
            <w:tcW w:w="3806" w:type="dxa"/>
            <w:vAlign w:val="center"/>
            <w:hideMark/>
          </w:tcPr>
          <w:p w14:paraId="622991E0" w14:textId="77777777" w:rsidR="0087362F" w:rsidRDefault="0087362F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slc6a1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il1b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grin1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6FCE2566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153.991</w:t>
            </w:r>
          </w:p>
        </w:tc>
        <w:tc>
          <w:tcPr>
            <w:tcW w:w="3806" w:type="dxa"/>
            <w:vAlign w:val="center"/>
            <w:hideMark/>
          </w:tcPr>
          <w:p w14:paraId="527DB0E4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109.464-258.668</w:t>
            </w:r>
          </w:p>
        </w:tc>
        <w:tc>
          <w:tcPr>
            <w:tcW w:w="3806" w:type="dxa"/>
            <w:vAlign w:val="center"/>
            <w:hideMark/>
          </w:tcPr>
          <w:p w14:paraId="3AF7F7F7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806" w:type="dxa"/>
            <w:vAlign w:val="center"/>
            <w:hideMark/>
          </w:tcPr>
          <w:p w14:paraId="55F0901A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0</w:t>
            </w:r>
          </w:p>
        </w:tc>
      </w:tr>
      <w:tr w:rsidR="0087362F" w14:paraId="5274D5C3" w14:textId="77777777" w:rsidTr="0087362F">
        <w:tc>
          <w:tcPr>
            <w:tcW w:w="8640" w:type="dxa"/>
            <w:vAlign w:val="center"/>
            <w:hideMark/>
          </w:tcPr>
          <w:p w14:paraId="723963DC" w14:textId="77777777" w:rsidR="0087362F" w:rsidRDefault="0087362F">
            <w:pPr>
              <w:pStyle w:val="bmdsTblBody"/>
            </w:pPr>
            <w:r>
              <w:rPr>
                <w:b/>
              </w:rPr>
              <w:t>GO:1903531</w:t>
            </w:r>
          </w:p>
          <w:p w14:paraId="1EB8DF8B" w14:textId="77777777" w:rsidR="0087362F" w:rsidRDefault="0087362F">
            <w:pPr>
              <w:pStyle w:val="bmdsTblBody"/>
            </w:pPr>
            <w:r>
              <w:t>negative regulation of secretion by cell</w:t>
            </w:r>
          </w:p>
        </w:tc>
        <w:tc>
          <w:tcPr>
            <w:tcW w:w="3806" w:type="dxa"/>
            <w:vAlign w:val="center"/>
            <w:hideMark/>
          </w:tcPr>
          <w:p w14:paraId="35648B46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3/60</w:t>
            </w:r>
          </w:p>
        </w:tc>
        <w:tc>
          <w:tcPr>
            <w:tcW w:w="3806" w:type="dxa"/>
            <w:vAlign w:val="center"/>
            <w:hideMark/>
          </w:tcPr>
          <w:p w14:paraId="6D3FC39C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5%</w:t>
            </w:r>
          </w:p>
        </w:tc>
        <w:tc>
          <w:tcPr>
            <w:tcW w:w="3806" w:type="dxa"/>
            <w:vAlign w:val="center"/>
            <w:hideMark/>
          </w:tcPr>
          <w:p w14:paraId="424026F1" w14:textId="77777777" w:rsidR="0087362F" w:rsidRDefault="0087362F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srebf1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il1b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hmox1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3222BB5A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153.991</w:t>
            </w:r>
          </w:p>
        </w:tc>
        <w:tc>
          <w:tcPr>
            <w:tcW w:w="3806" w:type="dxa"/>
            <w:vAlign w:val="center"/>
            <w:hideMark/>
          </w:tcPr>
          <w:p w14:paraId="797A3054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109.464-258.668</w:t>
            </w:r>
          </w:p>
        </w:tc>
        <w:tc>
          <w:tcPr>
            <w:tcW w:w="3806" w:type="dxa"/>
            <w:vAlign w:val="center"/>
            <w:hideMark/>
          </w:tcPr>
          <w:p w14:paraId="5F9CEF0A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806" w:type="dxa"/>
            <w:vAlign w:val="center"/>
            <w:hideMark/>
          </w:tcPr>
          <w:p w14:paraId="228B3B76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  <w:tr w:rsidR="0087362F" w14:paraId="4E59334B" w14:textId="77777777" w:rsidTr="0087362F">
        <w:tc>
          <w:tcPr>
            <w:tcW w:w="8640" w:type="dxa"/>
            <w:vAlign w:val="center"/>
            <w:hideMark/>
          </w:tcPr>
          <w:p w14:paraId="67398702" w14:textId="77777777" w:rsidR="0087362F" w:rsidRDefault="0087362F">
            <w:pPr>
              <w:pStyle w:val="bmdsTblBody"/>
            </w:pPr>
            <w:r>
              <w:rPr>
                <w:b/>
              </w:rPr>
              <w:t>GO:0009408</w:t>
            </w:r>
          </w:p>
          <w:p w14:paraId="24FD4A85" w14:textId="77777777" w:rsidR="0087362F" w:rsidRDefault="0087362F">
            <w:pPr>
              <w:pStyle w:val="bmdsTblBody"/>
            </w:pPr>
            <w:r>
              <w:t>response to heat</w:t>
            </w:r>
          </w:p>
        </w:tc>
        <w:tc>
          <w:tcPr>
            <w:tcW w:w="3806" w:type="dxa"/>
            <w:vAlign w:val="center"/>
            <w:hideMark/>
          </w:tcPr>
          <w:p w14:paraId="24208E49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3/59</w:t>
            </w:r>
          </w:p>
        </w:tc>
        <w:tc>
          <w:tcPr>
            <w:tcW w:w="3806" w:type="dxa"/>
            <w:vAlign w:val="center"/>
            <w:hideMark/>
          </w:tcPr>
          <w:p w14:paraId="0FFF4251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5%</w:t>
            </w:r>
          </w:p>
        </w:tc>
        <w:tc>
          <w:tcPr>
            <w:tcW w:w="3806" w:type="dxa"/>
            <w:vAlign w:val="center"/>
            <w:hideMark/>
          </w:tcPr>
          <w:p w14:paraId="4E9FCEF4" w14:textId="77777777" w:rsidR="0087362F" w:rsidRDefault="0087362F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il1b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hmox1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cxcl10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63D342F3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153.991</w:t>
            </w:r>
          </w:p>
        </w:tc>
        <w:tc>
          <w:tcPr>
            <w:tcW w:w="3806" w:type="dxa"/>
            <w:vAlign w:val="center"/>
            <w:hideMark/>
          </w:tcPr>
          <w:p w14:paraId="3ABC5C17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109.464-258.668</w:t>
            </w:r>
          </w:p>
        </w:tc>
        <w:tc>
          <w:tcPr>
            <w:tcW w:w="3806" w:type="dxa"/>
            <w:vAlign w:val="center"/>
            <w:hideMark/>
          </w:tcPr>
          <w:p w14:paraId="6725A2D6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806" w:type="dxa"/>
            <w:vAlign w:val="center"/>
            <w:hideMark/>
          </w:tcPr>
          <w:p w14:paraId="29E4ECB2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  <w:tr w:rsidR="0087362F" w14:paraId="55A180EE" w14:textId="77777777" w:rsidTr="0087362F">
        <w:tc>
          <w:tcPr>
            <w:tcW w:w="8640" w:type="dxa"/>
            <w:vAlign w:val="center"/>
            <w:hideMark/>
          </w:tcPr>
          <w:p w14:paraId="4F119ACA" w14:textId="77777777" w:rsidR="0087362F" w:rsidRDefault="0087362F">
            <w:pPr>
              <w:pStyle w:val="bmdsTblBody"/>
            </w:pPr>
            <w:r>
              <w:rPr>
                <w:b/>
              </w:rPr>
              <w:t>GO:0050766</w:t>
            </w:r>
          </w:p>
          <w:p w14:paraId="716C095A" w14:textId="77777777" w:rsidR="0087362F" w:rsidRDefault="0087362F">
            <w:pPr>
              <w:pStyle w:val="bmdsTblBody"/>
            </w:pPr>
            <w:r>
              <w:t>positive regulation of phagocytosis</w:t>
            </w:r>
          </w:p>
        </w:tc>
        <w:tc>
          <w:tcPr>
            <w:tcW w:w="3806" w:type="dxa"/>
            <w:vAlign w:val="center"/>
            <w:hideMark/>
          </w:tcPr>
          <w:p w14:paraId="58AFB6F5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3/35</w:t>
            </w:r>
          </w:p>
        </w:tc>
        <w:tc>
          <w:tcPr>
            <w:tcW w:w="3806" w:type="dxa"/>
            <w:vAlign w:val="center"/>
            <w:hideMark/>
          </w:tcPr>
          <w:p w14:paraId="680AB92E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9%</w:t>
            </w:r>
          </w:p>
        </w:tc>
        <w:tc>
          <w:tcPr>
            <w:tcW w:w="3806" w:type="dxa"/>
            <w:vAlign w:val="center"/>
            <w:hideMark/>
          </w:tcPr>
          <w:p w14:paraId="7E6F144A" w14:textId="77777777" w:rsidR="0087362F" w:rsidRDefault="0087362F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il1b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clec7a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c3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066A6162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153.991</w:t>
            </w:r>
          </w:p>
        </w:tc>
        <w:tc>
          <w:tcPr>
            <w:tcW w:w="3806" w:type="dxa"/>
            <w:vAlign w:val="center"/>
            <w:hideMark/>
          </w:tcPr>
          <w:p w14:paraId="3A26A1E0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109.464-258.668</w:t>
            </w:r>
          </w:p>
        </w:tc>
        <w:tc>
          <w:tcPr>
            <w:tcW w:w="3806" w:type="dxa"/>
            <w:vAlign w:val="center"/>
            <w:hideMark/>
          </w:tcPr>
          <w:p w14:paraId="771CEDD5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806" w:type="dxa"/>
            <w:vAlign w:val="center"/>
            <w:hideMark/>
          </w:tcPr>
          <w:p w14:paraId="2BDCEDF4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0</w:t>
            </w:r>
          </w:p>
        </w:tc>
      </w:tr>
      <w:tr w:rsidR="0087362F" w14:paraId="14E62714" w14:textId="77777777" w:rsidTr="0087362F">
        <w:tc>
          <w:tcPr>
            <w:tcW w:w="8640" w:type="dxa"/>
            <w:vAlign w:val="center"/>
            <w:hideMark/>
          </w:tcPr>
          <w:p w14:paraId="2FDC1BC1" w14:textId="77777777" w:rsidR="0087362F" w:rsidRDefault="0087362F">
            <w:pPr>
              <w:pStyle w:val="bmdsTblBody"/>
            </w:pPr>
            <w:r>
              <w:rPr>
                <w:b/>
              </w:rPr>
              <w:t>GO:0002718</w:t>
            </w:r>
          </w:p>
          <w:p w14:paraId="2A21872B" w14:textId="77777777" w:rsidR="0087362F" w:rsidRDefault="0087362F">
            <w:pPr>
              <w:pStyle w:val="bmdsTblBody"/>
            </w:pPr>
            <w:r>
              <w:t>regulation of cytokine production involved in immune response</w:t>
            </w:r>
          </w:p>
        </w:tc>
        <w:tc>
          <w:tcPr>
            <w:tcW w:w="3806" w:type="dxa"/>
            <w:vAlign w:val="center"/>
            <w:hideMark/>
          </w:tcPr>
          <w:p w14:paraId="634B3E1B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3/36</w:t>
            </w:r>
          </w:p>
        </w:tc>
        <w:tc>
          <w:tcPr>
            <w:tcW w:w="3806" w:type="dxa"/>
            <w:vAlign w:val="center"/>
            <w:hideMark/>
          </w:tcPr>
          <w:p w14:paraId="589A8892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8%</w:t>
            </w:r>
          </w:p>
        </w:tc>
        <w:tc>
          <w:tcPr>
            <w:tcW w:w="3806" w:type="dxa"/>
            <w:vAlign w:val="center"/>
            <w:hideMark/>
          </w:tcPr>
          <w:p w14:paraId="3B761F0F" w14:textId="77777777" w:rsidR="0087362F" w:rsidRDefault="0087362F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rt1-s3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il1b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hmox1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3D924A02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153.991</w:t>
            </w:r>
          </w:p>
        </w:tc>
        <w:tc>
          <w:tcPr>
            <w:tcW w:w="3806" w:type="dxa"/>
            <w:vAlign w:val="center"/>
            <w:hideMark/>
          </w:tcPr>
          <w:p w14:paraId="302DF41D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109.464-258.668</w:t>
            </w:r>
          </w:p>
        </w:tc>
        <w:tc>
          <w:tcPr>
            <w:tcW w:w="3806" w:type="dxa"/>
            <w:vAlign w:val="center"/>
            <w:hideMark/>
          </w:tcPr>
          <w:p w14:paraId="6DFAB7A7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806" w:type="dxa"/>
            <w:vAlign w:val="center"/>
            <w:hideMark/>
          </w:tcPr>
          <w:p w14:paraId="46646792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  <w:tr w:rsidR="0087362F" w14:paraId="3A0CA5F5" w14:textId="77777777" w:rsidTr="0087362F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C75F857" w14:textId="77777777" w:rsidR="0087362F" w:rsidRDefault="0087362F">
            <w:pPr>
              <w:pStyle w:val="bmdsTblBody"/>
            </w:pPr>
            <w:r>
              <w:rPr>
                <w:b/>
              </w:rPr>
              <w:t>GO:0045665</w:t>
            </w:r>
          </w:p>
          <w:p w14:paraId="34C505C9" w14:textId="77777777" w:rsidR="0087362F" w:rsidRDefault="0087362F">
            <w:pPr>
              <w:pStyle w:val="bmdsTblBody"/>
            </w:pPr>
            <w:r>
              <w:t>negative regulation of neuron differentiation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57BC43E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3/54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824384A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6%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09070D0" w14:textId="77777777" w:rsidR="0087362F" w:rsidRDefault="0087362F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map2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il1b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fgf13</w:t>
            </w:r>
            <w:proofErr w:type="spellEnd"/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0448DD6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153.991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1024660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109.464-258.668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F529F7A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FBCD38C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</w:tbl>
    <w:p w14:paraId="12478AD6" w14:textId="77777777" w:rsidR="0087362F" w:rsidRDefault="0087362F" w:rsidP="0087362F">
      <w:pPr>
        <w:pStyle w:val="bmdsTblFootnote"/>
      </w:pPr>
      <w:r>
        <w:t>Official gene symbols from the Rat Genome Database are shown in the “Active Genes” column. Definitions of Gene Ontology terms were provided by the Gene Ontology Resource (http://geneontology.org/).</w:t>
      </w:r>
    </w:p>
    <w:p w14:paraId="5DA5FD9F" w14:textId="45680298" w:rsidR="0087362F" w:rsidRDefault="0087362F" w:rsidP="0087362F">
      <w:pPr>
        <w:pStyle w:val="bmdsTblFootnote"/>
      </w:pPr>
      <w:r>
        <w:rPr>
          <w:b/>
        </w:rPr>
        <w:t>GO process description version:</w:t>
      </w:r>
      <w:r>
        <w:t xml:space="preserve"> </w:t>
      </w:r>
      <w:r w:rsidR="00941D47" w:rsidRPr="000E6A0C">
        <w:rPr>
          <w:rFonts w:eastAsia="Calibri" w:cs="Times New Roman"/>
          <w:bCs/>
          <w:szCs w:val="18"/>
        </w:rPr>
        <w:t xml:space="preserve">https://cebs.niehs.nih.gov/cebs/study/002-00600-0002-000-0 </w:t>
      </w:r>
      <w:proofErr w:type="spellStart"/>
      <w:r w:rsidR="006549F8">
        <w:t>V04132020</w:t>
      </w:r>
      <w:proofErr w:type="spellEnd"/>
    </w:p>
    <w:p w14:paraId="43FF9A59" w14:textId="77777777" w:rsidR="0087362F" w:rsidRDefault="0087362F" w:rsidP="0087362F">
      <w:pPr>
        <w:pStyle w:val="bmdsTblFootnote"/>
      </w:pPr>
      <w:r>
        <w:rPr>
          <w:b/>
        </w:rPr>
        <w:t>GO:0002886 regulation of myeloid leukocyte mediated immunity:</w:t>
      </w:r>
      <w:r>
        <w:t xml:space="preserve"> Any process that modulates the frequency, rate, or extent of myeloid leukocyte mediated immunity.</w:t>
      </w:r>
    </w:p>
    <w:p w14:paraId="3FD11D27" w14:textId="77777777" w:rsidR="0087362F" w:rsidRDefault="0087362F" w:rsidP="0087362F">
      <w:pPr>
        <w:pStyle w:val="bmdsTblFootnote"/>
      </w:pPr>
      <w:r>
        <w:rPr>
          <w:b/>
        </w:rPr>
        <w:t>GO:0032570 response to progesterone:</w:t>
      </w:r>
      <w:r>
        <w:t xml:space="preserve"> Any process that results in a change in state or activity of a cell or an organism (in terms of movement, secretion, enzyme production, gene expression, etc.) </w:t>
      </w:r>
      <w:proofErr w:type="gramStart"/>
      <w:r>
        <w:t>as a result of</w:t>
      </w:r>
      <w:proofErr w:type="gramEnd"/>
      <w:r>
        <w:t xml:space="preserve"> a progesterone stimulus.</w:t>
      </w:r>
    </w:p>
    <w:p w14:paraId="54582C52" w14:textId="77777777" w:rsidR="0087362F" w:rsidRDefault="0087362F" w:rsidP="0087362F">
      <w:pPr>
        <w:pStyle w:val="bmdsTblFootnote"/>
      </w:pPr>
      <w:r>
        <w:rPr>
          <w:b/>
        </w:rPr>
        <w:t>GO:0002703 regulation of leukocyte mediated immunity:</w:t>
      </w:r>
      <w:r>
        <w:t xml:space="preserve"> Any process that modulates the frequency, rate, or extent of leukocyte mediated immunity.</w:t>
      </w:r>
    </w:p>
    <w:p w14:paraId="55A926BF" w14:textId="77777777" w:rsidR="0087362F" w:rsidRDefault="0087362F" w:rsidP="0087362F">
      <w:pPr>
        <w:pStyle w:val="bmdsTblFootnote"/>
      </w:pPr>
      <w:r>
        <w:rPr>
          <w:b/>
        </w:rPr>
        <w:lastRenderedPageBreak/>
        <w:t>GO:0002675 positive regulation of acute inflammatory response:</w:t>
      </w:r>
      <w:r>
        <w:t xml:space="preserve"> Any process that activates or increases the frequency, rate, or extent of an acute inflammatory response.</w:t>
      </w:r>
    </w:p>
    <w:p w14:paraId="554048E0" w14:textId="77777777" w:rsidR="0087362F" w:rsidRDefault="0087362F" w:rsidP="0087362F">
      <w:pPr>
        <w:pStyle w:val="bmdsTblFootnote"/>
      </w:pPr>
      <w:r>
        <w:rPr>
          <w:b/>
        </w:rPr>
        <w:t>GO:0072347 response to anesthetic:</w:t>
      </w:r>
      <w:r>
        <w:t xml:space="preserve"> Any process that results in a change in state or activity of a cell or an organism (in terms of movement, secretion, enzyme production, gene expression, etc.) </w:t>
      </w:r>
      <w:proofErr w:type="gramStart"/>
      <w:r>
        <w:t>as a result of</w:t>
      </w:r>
      <w:proofErr w:type="gramEnd"/>
      <w:r>
        <w:t xml:space="preserve"> an anesthetic stimulus. An anesthetic is a substance that causes loss of feeling, awareness, or sensation.</w:t>
      </w:r>
    </w:p>
    <w:p w14:paraId="1E388AE6" w14:textId="77777777" w:rsidR="0087362F" w:rsidRDefault="0087362F" w:rsidP="0087362F">
      <w:pPr>
        <w:pStyle w:val="bmdsTblFootnote"/>
      </w:pPr>
      <w:r>
        <w:rPr>
          <w:b/>
        </w:rPr>
        <w:t>GO:1903531 negative regulation of secretion by cell:</w:t>
      </w:r>
      <w:r>
        <w:t xml:space="preserve"> Any process that stops, prevents or reduces the frequency, rate or extent of secretion by cell.</w:t>
      </w:r>
    </w:p>
    <w:p w14:paraId="7A356501" w14:textId="77777777" w:rsidR="0087362F" w:rsidRDefault="0087362F" w:rsidP="0087362F">
      <w:pPr>
        <w:pStyle w:val="bmdsTblFootnote"/>
      </w:pPr>
      <w:r>
        <w:rPr>
          <w:b/>
        </w:rPr>
        <w:t>GO:0009408 response to heat:</w:t>
      </w:r>
      <w:r>
        <w:t xml:space="preserve"> Any process that results in a change in state or activity of a cell or an organism (in terms of movement, secretion, enzyme production, gene expression, etc.) as a result of a heat stimulus, a temperature stimulus above the optimal temperature for that organism.</w:t>
      </w:r>
    </w:p>
    <w:p w14:paraId="6D70D431" w14:textId="77777777" w:rsidR="0087362F" w:rsidRDefault="0087362F" w:rsidP="0087362F">
      <w:pPr>
        <w:pStyle w:val="bmdsTblFootnote"/>
      </w:pPr>
      <w:r>
        <w:rPr>
          <w:b/>
        </w:rPr>
        <w:t>GO:0050766 positive regulation of phagocytosis:</w:t>
      </w:r>
      <w:r>
        <w:t xml:space="preserve"> Any process that activates or increases the frequency, rate or extent of phagocytosis.</w:t>
      </w:r>
    </w:p>
    <w:p w14:paraId="1C894D52" w14:textId="77777777" w:rsidR="0087362F" w:rsidRDefault="0087362F" w:rsidP="0087362F">
      <w:pPr>
        <w:pStyle w:val="bmdsTblFootnote"/>
      </w:pPr>
      <w:r>
        <w:rPr>
          <w:b/>
        </w:rPr>
        <w:t>GO:0002718 regulation of cytokine production involved in immune response:</w:t>
      </w:r>
      <w:r>
        <w:t xml:space="preserve"> Any process that modulates the frequency, rate, or extent of cytokine production that contributes to an immune response.</w:t>
      </w:r>
    </w:p>
    <w:p w14:paraId="5A67FD75" w14:textId="77777777" w:rsidR="0087362F" w:rsidRDefault="0087362F" w:rsidP="0087362F">
      <w:pPr>
        <w:pStyle w:val="bmdsTblFootnote"/>
      </w:pPr>
      <w:r>
        <w:rPr>
          <w:b/>
        </w:rPr>
        <w:t>GO:0045665 negative regulation of neuron differentiation:</w:t>
      </w:r>
      <w:r>
        <w:t xml:space="preserve"> Any process that stops, prevents, or reduces the frequency, rate or extent of neuron differentiation.</w:t>
      </w:r>
    </w:p>
    <w:p w14:paraId="627353F5" w14:textId="77777777" w:rsidR="0087362F" w:rsidRDefault="0087362F" w:rsidP="0087362F">
      <w:r>
        <w:br w:type="page"/>
      </w:r>
    </w:p>
    <w:p w14:paraId="7D68D1C4" w14:textId="77777777" w:rsidR="0087362F" w:rsidRDefault="0087362F" w:rsidP="0087362F">
      <w:pPr>
        <w:pStyle w:val="Heading3"/>
      </w:pPr>
      <w:r>
        <w:lastRenderedPageBreak/>
        <w:t>Female Kidney Top 10 GO Biological Process Gene Sets Ranked by Potency of Perturbation (Sorted by BMD Median)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6"/>
        <w:gridCol w:w="1513"/>
        <w:gridCol w:w="1051"/>
        <w:gridCol w:w="879"/>
        <w:gridCol w:w="1214"/>
        <w:gridCol w:w="1075"/>
        <w:gridCol w:w="1041"/>
        <w:gridCol w:w="1041"/>
      </w:tblGrid>
      <w:tr w:rsidR="0087362F" w14:paraId="6EC87573" w14:textId="77777777" w:rsidTr="0087362F">
        <w:tc>
          <w:tcPr>
            <w:tcW w:w="8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9443E65" w14:textId="77777777" w:rsidR="0087362F" w:rsidRDefault="0087362F">
            <w:pPr>
              <w:pStyle w:val="bmdsTblBody"/>
            </w:pPr>
            <w:r>
              <w:rPr>
                <w:b/>
              </w:rPr>
              <w:t>Category Name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A1A7BA4" w14:textId="77777777" w:rsidR="0087362F" w:rsidRDefault="0087362F">
            <w:pPr>
              <w:pStyle w:val="bmdsTblHeader"/>
              <w:jc w:val="center"/>
            </w:pPr>
            <w:r>
              <w:t>Input Genes/Platform Genes in Gene Set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505F8FA" w14:textId="77777777" w:rsidR="0087362F" w:rsidRDefault="0087362F">
            <w:pPr>
              <w:pStyle w:val="bmdsTblHeader"/>
              <w:jc w:val="center"/>
            </w:pPr>
            <w:r>
              <w:t>% Gene Set Coverage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12D63B7" w14:textId="77777777" w:rsidR="0087362F" w:rsidRDefault="0087362F">
            <w:pPr>
              <w:pStyle w:val="bmdsTblHeader"/>
              <w:jc w:val="center"/>
            </w:pPr>
            <w:r>
              <w:t>Active Genes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557359B" w14:textId="77777777" w:rsidR="0087362F" w:rsidRDefault="0087362F">
            <w:pPr>
              <w:pStyle w:val="bmdsTblHeader"/>
              <w:jc w:val="center"/>
            </w:pPr>
            <w:proofErr w:type="spellStart"/>
            <w:r>
              <w:t>BMD</w:t>
            </w:r>
            <w:r>
              <w:rPr>
                <w:vertAlign w:val="subscript"/>
              </w:rPr>
              <w:t>1std</w:t>
            </w:r>
            <w:proofErr w:type="spellEnd"/>
            <w:r>
              <w:t xml:space="preserve"> Median of Gene Set Transcripts (mg/kg)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DB031C7" w14:textId="77777777" w:rsidR="0087362F" w:rsidRDefault="0087362F">
            <w:pPr>
              <w:pStyle w:val="bmdsTblHeader"/>
              <w:jc w:val="center"/>
            </w:pPr>
            <w:r>
              <w:t xml:space="preserve">Median </w:t>
            </w:r>
            <w:proofErr w:type="spellStart"/>
            <w:r>
              <w:t>BMD</w:t>
            </w:r>
            <w:r>
              <w:rPr>
                <w:vertAlign w:val="subscript"/>
              </w:rPr>
              <w:t>L</w:t>
            </w:r>
            <w:r>
              <w:rPr>
                <w:sz w:val="16"/>
                <w:vertAlign w:val="subscript"/>
              </w:rPr>
              <w:t>1Std</w:t>
            </w:r>
            <w:r>
              <w:t>-BMD</w:t>
            </w:r>
            <w:r>
              <w:rPr>
                <w:vertAlign w:val="subscript"/>
              </w:rPr>
              <w:t>U</w:t>
            </w:r>
            <w:r>
              <w:rPr>
                <w:sz w:val="16"/>
                <w:vertAlign w:val="subscript"/>
              </w:rPr>
              <w:t>1Std</w:t>
            </w:r>
            <w:proofErr w:type="spellEnd"/>
            <w:r>
              <w:t xml:space="preserve"> (mg/kg)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B72A184" w14:textId="77777777" w:rsidR="0087362F" w:rsidRDefault="0087362F">
            <w:pPr>
              <w:pStyle w:val="bmdsTblHeader"/>
              <w:jc w:val="center"/>
            </w:pPr>
            <w:r>
              <w:t>Genes with Changed Direction Up</w:t>
            </w:r>
          </w:p>
        </w:tc>
        <w:tc>
          <w:tcPr>
            <w:tcW w:w="38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7AB3978" w14:textId="77777777" w:rsidR="0087362F" w:rsidRDefault="0087362F">
            <w:pPr>
              <w:pStyle w:val="bmdsTblHeader"/>
              <w:jc w:val="center"/>
            </w:pPr>
            <w:r>
              <w:t>Genes with Changed Direction Down</w:t>
            </w:r>
          </w:p>
        </w:tc>
      </w:tr>
      <w:tr w:rsidR="0087362F" w14:paraId="03C3E13E" w14:textId="77777777" w:rsidTr="0087362F">
        <w:tc>
          <w:tcPr>
            <w:tcW w:w="8640" w:type="dxa"/>
            <w:vAlign w:val="center"/>
            <w:hideMark/>
          </w:tcPr>
          <w:p w14:paraId="1B4EBA36" w14:textId="77777777" w:rsidR="0087362F" w:rsidRDefault="0087362F">
            <w:pPr>
              <w:pStyle w:val="bmdsTblBody"/>
            </w:pPr>
            <w:r>
              <w:rPr>
                <w:b/>
              </w:rPr>
              <w:t>GO:0045087</w:t>
            </w:r>
          </w:p>
          <w:p w14:paraId="364A5FCB" w14:textId="77777777" w:rsidR="0087362F" w:rsidRDefault="0087362F">
            <w:pPr>
              <w:pStyle w:val="bmdsTblBody"/>
            </w:pPr>
            <w:r>
              <w:t>innate immune response</w:t>
            </w:r>
          </w:p>
        </w:tc>
        <w:tc>
          <w:tcPr>
            <w:tcW w:w="3806" w:type="dxa"/>
            <w:vAlign w:val="center"/>
            <w:hideMark/>
          </w:tcPr>
          <w:p w14:paraId="5E49AEBC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5/87</w:t>
            </w:r>
          </w:p>
        </w:tc>
        <w:tc>
          <w:tcPr>
            <w:tcW w:w="3806" w:type="dxa"/>
            <w:vAlign w:val="center"/>
            <w:hideMark/>
          </w:tcPr>
          <w:p w14:paraId="4BC140C8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6%</w:t>
            </w:r>
          </w:p>
        </w:tc>
        <w:tc>
          <w:tcPr>
            <w:tcW w:w="3806" w:type="dxa"/>
            <w:vAlign w:val="center"/>
            <w:hideMark/>
          </w:tcPr>
          <w:p w14:paraId="4FDF145E" w14:textId="77777777" w:rsidR="0087362F" w:rsidRDefault="0087362F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vnn1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fcer1g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col12a1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clec4a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c3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3C1D4093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57.313</w:t>
            </w:r>
          </w:p>
        </w:tc>
        <w:tc>
          <w:tcPr>
            <w:tcW w:w="3806" w:type="dxa"/>
            <w:vAlign w:val="center"/>
            <w:hideMark/>
          </w:tcPr>
          <w:p w14:paraId="49432CDB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37.882-112.773</w:t>
            </w:r>
          </w:p>
        </w:tc>
        <w:tc>
          <w:tcPr>
            <w:tcW w:w="3806" w:type="dxa"/>
            <w:vAlign w:val="center"/>
            <w:hideMark/>
          </w:tcPr>
          <w:p w14:paraId="311CA527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3806" w:type="dxa"/>
            <w:vAlign w:val="center"/>
            <w:hideMark/>
          </w:tcPr>
          <w:p w14:paraId="32F8899C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  <w:tr w:rsidR="0087362F" w14:paraId="749C4A5C" w14:textId="77777777" w:rsidTr="0087362F">
        <w:tc>
          <w:tcPr>
            <w:tcW w:w="8640" w:type="dxa"/>
            <w:vAlign w:val="center"/>
            <w:hideMark/>
          </w:tcPr>
          <w:p w14:paraId="0CA4CA83" w14:textId="77777777" w:rsidR="0087362F" w:rsidRDefault="0087362F">
            <w:pPr>
              <w:pStyle w:val="bmdsTblBody"/>
            </w:pPr>
            <w:r>
              <w:rPr>
                <w:b/>
              </w:rPr>
              <w:t>GO:0002253</w:t>
            </w:r>
          </w:p>
          <w:p w14:paraId="28F9C5E7" w14:textId="77777777" w:rsidR="0087362F" w:rsidRDefault="0087362F">
            <w:pPr>
              <w:pStyle w:val="bmdsTblBody"/>
            </w:pPr>
            <w:r>
              <w:t>activation of immune response</w:t>
            </w:r>
          </w:p>
        </w:tc>
        <w:tc>
          <w:tcPr>
            <w:tcW w:w="3806" w:type="dxa"/>
            <w:vAlign w:val="center"/>
            <w:hideMark/>
          </w:tcPr>
          <w:p w14:paraId="1129FF3F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4/69</w:t>
            </w:r>
          </w:p>
        </w:tc>
        <w:tc>
          <w:tcPr>
            <w:tcW w:w="3806" w:type="dxa"/>
            <w:vAlign w:val="center"/>
            <w:hideMark/>
          </w:tcPr>
          <w:p w14:paraId="1331BC93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6%</w:t>
            </w:r>
          </w:p>
        </w:tc>
        <w:tc>
          <w:tcPr>
            <w:tcW w:w="3806" w:type="dxa"/>
            <w:vAlign w:val="center"/>
            <w:hideMark/>
          </w:tcPr>
          <w:p w14:paraId="761C1F14" w14:textId="77777777" w:rsidR="0087362F" w:rsidRDefault="0087362F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fyb1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fcer1g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col12a1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c3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2FE12DA4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78.645</w:t>
            </w:r>
          </w:p>
        </w:tc>
        <w:tc>
          <w:tcPr>
            <w:tcW w:w="3806" w:type="dxa"/>
            <w:vAlign w:val="center"/>
            <w:hideMark/>
          </w:tcPr>
          <w:p w14:paraId="6CA0AB4A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45.596-480.937</w:t>
            </w:r>
          </w:p>
        </w:tc>
        <w:tc>
          <w:tcPr>
            <w:tcW w:w="3806" w:type="dxa"/>
            <w:vAlign w:val="center"/>
            <w:hideMark/>
          </w:tcPr>
          <w:p w14:paraId="6AD8375B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806" w:type="dxa"/>
            <w:vAlign w:val="center"/>
            <w:hideMark/>
          </w:tcPr>
          <w:p w14:paraId="03D09978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  <w:tr w:rsidR="0087362F" w14:paraId="5B9B4C54" w14:textId="77777777" w:rsidTr="0087362F">
        <w:tc>
          <w:tcPr>
            <w:tcW w:w="8640" w:type="dxa"/>
            <w:vAlign w:val="center"/>
            <w:hideMark/>
          </w:tcPr>
          <w:p w14:paraId="2ADDAD59" w14:textId="77777777" w:rsidR="0087362F" w:rsidRDefault="0087362F">
            <w:pPr>
              <w:pStyle w:val="bmdsTblBody"/>
            </w:pPr>
            <w:r>
              <w:rPr>
                <w:b/>
              </w:rPr>
              <w:t>GO:0002250</w:t>
            </w:r>
          </w:p>
          <w:p w14:paraId="155007FA" w14:textId="77777777" w:rsidR="0087362F" w:rsidRDefault="0087362F">
            <w:pPr>
              <w:pStyle w:val="bmdsTblBody"/>
            </w:pPr>
            <w:r>
              <w:t>adaptive immune response</w:t>
            </w:r>
          </w:p>
        </w:tc>
        <w:tc>
          <w:tcPr>
            <w:tcW w:w="3806" w:type="dxa"/>
            <w:vAlign w:val="center"/>
            <w:hideMark/>
          </w:tcPr>
          <w:p w14:paraId="3A4EB0BA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3/57</w:t>
            </w:r>
          </w:p>
        </w:tc>
        <w:tc>
          <w:tcPr>
            <w:tcW w:w="3806" w:type="dxa"/>
            <w:vAlign w:val="center"/>
            <w:hideMark/>
          </w:tcPr>
          <w:p w14:paraId="77DE9E2B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5%</w:t>
            </w:r>
          </w:p>
        </w:tc>
        <w:tc>
          <w:tcPr>
            <w:tcW w:w="3806" w:type="dxa"/>
            <w:vAlign w:val="center"/>
            <w:hideMark/>
          </w:tcPr>
          <w:p w14:paraId="3266C637" w14:textId="77777777" w:rsidR="0087362F" w:rsidRDefault="0087362F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fcer1g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adgre1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clec4a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2BCF09B8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82.466</w:t>
            </w:r>
          </w:p>
        </w:tc>
        <w:tc>
          <w:tcPr>
            <w:tcW w:w="3806" w:type="dxa"/>
            <w:vAlign w:val="center"/>
            <w:hideMark/>
          </w:tcPr>
          <w:p w14:paraId="40B4943C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47.872-265.955</w:t>
            </w:r>
          </w:p>
        </w:tc>
        <w:tc>
          <w:tcPr>
            <w:tcW w:w="3806" w:type="dxa"/>
            <w:vAlign w:val="center"/>
            <w:hideMark/>
          </w:tcPr>
          <w:p w14:paraId="6AA7AB12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806" w:type="dxa"/>
            <w:vAlign w:val="center"/>
            <w:hideMark/>
          </w:tcPr>
          <w:p w14:paraId="3D5AB33F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0</w:t>
            </w:r>
          </w:p>
        </w:tc>
      </w:tr>
      <w:tr w:rsidR="0087362F" w14:paraId="1EFA02AF" w14:textId="77777777" w:rsidTr="0087362F">
        <w:tc>
          <w:tcPr>
            <w:tcW w:w="8640" w:type="dxa"/>
            <w:vAlign w:val="center"/>
            <w:hideMark/>
          </w:tcPr>
          <w:p w14:paraId="6FCC278D" w14:textId="77777777" w:rsidR="0087362F" w:rsidRDefault="0087362F">
            <w:pPr>
              <w:pStyle w:val="bmdsTblBody"/>
            </w:pPr>
            <w:r>
              <w:rPr>
                <w:b/>
              </w:rPr>
              <w:t>GO:0050729</w:t>
            </w:r>
          </w:p>
          <w:p w14:paraId="061641CA" w14:textId="77777777" w:rsidR="0087362F" w:rsidRDefault="0087362F">
            <w:pPr>
              <w:pStyle w:val="bmdsTblBody"/>
            </w:pPr>
            <w:r>
              <w:t>positive regulation of inflammatory response</w:t>
            </w:r>
          </w:p>
        </w:tc>
        <w:tc>
          <w:tcPr>
            <w:tcW w:w="3806" w:type="dxa"/>
            <w:vAlign w:val="center"/>
            <w:hideMark/>
          </w:tcPr>
          <w:p w14:paraId="1EE695B6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3/52</w:t>
            </w:r>
          </w:p>
        </w:tc>
        <w:tc>
          <w:tcPr>
            <w:tcW w:w="3806" w:type="dxa"/>
            <w:vAlign w:val="center"/>
            <w:hideMark/>
          </w:tcPr>
          <w:p w14:paraId="0F0A2ADB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6%</w:t>
            </w:r>
          </w:p>
        </w:tc>
        <w:tc>
          <w:tcPr>
            <w:tcW w:w="3806" w:type="dxa"/>
            <w:vAlign w:val="center"/>
            <w:hideMark/>
          </w:tcPr>
          <w:p w14:paraId="141ACED4" w14:textId="77777777" w:rsidR="0087362F" w:rsidRDefault="0087362F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tslp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fcer1g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c3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637D687D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99.976</w:t>
            </w:r>
          </w:p>
        </w:tc>
        <w:tc>
          <w:tcPr>
            <w:tcW w:w="3806" w:type="dxa"/>
            <w:vAlign w:val="center"/>
            <w:hideMark/>
          </w:tcPr>
          <w:p w14:paraId="5D1E7C91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53.311-818.733</w:t>
            </w:r>
          </w:p>
        </w:tc>
        <w:tc>
          <w:tcPr>
            <w:tcW w:w="3806" w:type="dxa"/>
            <w:vAlign w:val="center"/>
            <w:hideMark/>
          </w:tcPr>
          <w:p w14:paraId="759DBBDC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806" w:type="dxa"/>
            <w:vAlign w:val="center"/>
            <w:hideMark/>
          </w:tcPr>
          <w:p w14:paraId="3F3CEA6C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  <w:tr w:rsidR="0087362F" w14:paraId="36959ADE" w14:textId="77777777" w:rsidTr="0087362F">
        <w:tc>
          <w:tcPr>
            <w:tcW w:w="8640" w:type="dxa"/>
            <w:vAlign w:val="center"/>
            <w:hideMark/>
          </w:tcPr>
          <w:p w14:paraId="7845B80E" w14:textId="77777777" w:rsidR="0087362F" w:rsidRDefault="0087362F">
            <w:pPr>
              <w:pStyle w:val="bmdsTblBody"/>
            </w:pPr>
            <w:r>
              <w:rPr>
                <w:b/>
              </w:rPr>
              <w:t>GO:0006690</w:t>
            </w:r>
          </w:p>
          <w:p w14:paraId="25B2F20A" w14:textId="77777777" w:rsidR="0087362F" w:rsidRDefault="0087362F">
            <w:pPr>
              <w:pStyle w:val="bmdsTblBody"/>
            </w:pPr>
            <w:proofErr w:type="spellStart"/>
            <w:r>
              <w:t>icosanoid</w:t>
            </w:r>
            <w:proofErr w:type="spellEnd"/>
            <w:r>
              <w:t xml:space="preserve"> metabolic process</w:t>
            </w:r>
          </w:p>
        </w:tc>
        <w:tc>
          <w:tcPr>
            <w:tcW w:w="3806" w:type="dxa"/>
            <w:vAlign w:val="center"/>
            <w:hideMark/>
          </w:tcPr>
          <w:p w14:paraId="5CFC3456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3/48</w:t>
            </w:r>
          </w:p>
        </w:tc>
        <w:tc>
          <w:tcPr>
            <w:tcW w:w="3806" w:type="dxa"/>
            <w:vAlign w:val="center"/>
            <w:hideMark/>
          </w:tcPr>
          <w:p w14:paraId="5270A4C0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6%</w:t>
            </w:r>
          </w:p>
        </w:tc>
        <w:tc>
          <w:tcPr>
            <w:tcW w:w="3806" w:type="dxa"/>
            <w:vAlign w:val="center"/>
            <w:hideMark/>
          </w:tcPr>
          <w:p w14:paraId="466D4DF7" w14:textId="77777777" w:rsidR="0087362F" w:rsidRDefault="0087362F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gstp1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ephx1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cyp4a2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6A54CC01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147.888</w:t>
            </w:r>
          </w:p>
        </w:tc>
        <w:tc>
          <w:tcPr>
            <w:tcW w:w="3806" w:type="dxa"/>
            <w:vAlign w:val="center"/>
            <w:hideMark/>
          </w:tcPr>
          <w:p w14:paraId="522322F2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112.384-215.342</w:t>
            </w:r>
          </w:p>
        </w:tc>
        <w:tc>
          <w:tcPr>
            <w:tcW w:w="3806" w:type="dxa"/>
            <w:vAlign w:val="center"/>
            <w:hideMark/>
          </w:tcPr>
          <w:p w14:paraId="29007CED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806" w:type="dxa"/>
            <w:vAlign w:val="center"/>
            <w:hideMark/>
          </w:tcPr>
          <w:p w14:paraId="12C54FDD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0</w:t>
            </w:r>
          </w:p>
        </w:tc>
      </w:tr>
      <w:tr w:rsidR="0087362F" w14:paraId="11EF68A2" w14:textId="77777777" w:rsidTr="0087362F">
        <w:tc>
          <w:tcPr>
            <w:tcW w:w="8640" w:type="dxa"/>
            <w:vAlign w:val="center"/>
            <w:hideMark/>
          </w:tcPr>
          <w:p w14:paraId="2462F85D" w14:textId="77777777" w:rsidR="0087362F" w:rsidRDefault="0087362F">
            <w:pPr>
              <w:pStyle w:val="bmdsTblBody"/>
            </w:pPr>
            <w:r>
              <w:rPr>
                <w:b/>
              </w:rPr>
              <w:t>GO:0071385</w:t>
            </w:r>
          </w:p>
          <w:p w14:paraId="03DEC6BB" w14:textId="77777777" w:rsidR="0087362F" w:rsidRDefault="0087362F">
            <w:pPr>
              <w:pStyle w:val="bmdsTblBody"/>
            </w:pPr>
            <w:r>
              <w:t>cellular response to glucocorticoid stimulus</w:t>
            </w:r>
          </w:p>
        </w:tc>
        <w:tc>
          <w:tcPr>
            <w:tcW w:w="3806" w:type="dxa"/>
            <w:vAlign w:val="center"/>
            <w:hideMark/>
          </w:tcPr>
          <w:p w14:paraId="147A973A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3/51</w:t>
            </w:r>
          </w:p>
        </w:tc>
        <w:tc>
          <w:tcPr>
            <w:tcW w:w="3806" w:type="dxa"/>
            <w:vAlign w:val="center"/>
            <w:hideMark/>
          </w:tcPr>
          <w:p w14:paraId="3E0854C0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6%</w:t>
            </w:r>
          </w:p>
        </w:tc>
        <w:tc>
          <w:tcPr>
            <w:tcW w:w="3806" w:type="dxa"/>
            <w:vAlign w:val="center"/>
            <w:hideMark/>
          </w:tcPr>
          <w:p w14:paraId="60A82AEE" w14:textId="77777777" w:rsidR="0087362F" w:rsidRDefault="0087362F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hmgcs2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gstp1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ephx1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2E83DCDB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147.888</w:t>
            </w:r>
          </w:p>
        </w:tc>
        <w:tc>
          <w:tcPr>
            <w:tcW w:w="3806" w:type="dxa"/>
            <w:vAlign w:val="center"/>
            <w:hideMark/>
          </w:tcPr>
          <w:p w14:paraId="13BC82B8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112.384-215.342</w:t>
            </w:r>
          </w:p>
        </w:tc>
        <w:tc>
          <w:tcPr>
            <w:tcW w:w="3806" w:type="dxa"/>
            <w:vAlign w:val="center"/>
            <w:hideMark/>
          </w:tcPr>
          <w:p w14:paraId="41EF996C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806" w:type="dxa"/>
            <w:vAlign w:val="center"/>
            <w:hideMark/>
          </w:tcPr>
          <w:p w14:paraId="1FDD9024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0</w:t>
            </w:r>
          </w:p>
        </w:tc>
      </w:tr>
      <w:tr w:rsidR="0087362F" w14:paraId="35975016" w14:textId="77777777" w:rsidTr="0087362F">
        <w:tc>
          <w:tcPr>
            <w:tcW w:w="8640" w:type="dxa"/>
            <w:vAlign w:val="center"/>
            <w:hideMark/>
          </w:tcPr>
          <w:p w14:paraId="288DC121" w14:textId="77777777" w:rsidR="0087362F" w:rsidRDefault="0087362F">
            <w:pPr>
              <w:pStyle w:val="bmdsTblBody"/>
            </w:pPr>
            <w:r>
              <w:rPr>
                <w:b/>
              </w:rPr>
              <w:t>GO:1901568</w:t>
            </w:r>
          </w:p>
          <w:p w14:paraId="6136E441" w14:textId="77777777" w:rsidR="0087362F" w:rsidRDefault="0087362F">
            <w:pPr>
              <w:pStyle w:val="bmdsTblBody"/>
            </w:pPr>
            <w:r>
              <w:t>fatty acid derivative metabolic process</w:t>
            </w:r>
          </w:p>
        </w:tc>
        <w:tc>
          <w:tcPr>
            <w:tcW w:w="3806" w:type="dxa"/>
            <w:vAlign w:val="center"/>
            <w:hideMark/>
          </w:tcPr>
          <w:p w14:paraId="11DF8694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4/57</w:t>
            </w:r>
          </w:p>
        </w:tc>
        <w:tc>
          <w:tcPr>
            <w:tcW w:w="3806" w:type="dxa"/>
            <w:vAlign w:val="center"/>
            <w:hideMark/>
          </w:tcPr>
          <w:p w14:paraId="473AA3FF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7%</w:t>
            </w:r>
          </w:p>
        </w:tc>
        <w:tc>
          <w:tcPr>
            <w:tcW w:w="3806" w:type="dxa"/>
            <w:vAlign w:val="center"/>
            <w:hideMark/>
          </w:tcPr>
          <w:p w14:paraId="2FB24B60" w14:textId="77777777" w:rsidR="0087362F" w:rsidRDefault="0087362F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hmgcs2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gstp1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ephx1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cyp4a2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66025E44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220.130</w:t>
            </w:r>
          </w:p>
        </w:tc>
        <w:tc>
          <w:tcPr>
            <w:tcW w:w="3806" w:type="dxa"/>
            <w:vAlign w:val="center"/>
            <w:hideMark/>
          </w:tcPr>
          <w:p w14:paraId="03E73FFB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150.351-433.756</w:t>
            </w:r>
          </w:p>
        </w:tc>
        <w:tc>
          <w:tcPr>
            <w:tcW w:w="3806" w:type="dxa"/>
            <w:vAlign w:val="center"/>
            <w:hideMark/>
          </w:tcPr>
          <w:p w14:paraId="598E3B87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3806" w:type="dxa"/>
            <w:vAlign w:val="center"/>
            <w:hideMark/>
          </w:tcPr>
          <w:p w14:paraId="408E7E7D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0</w:t>
            </w:r>
          </w:p>
        </w:tc>
      </w:tr>
      <w:tr w:rsidR="0087362F" w14:paraId="37E012DB" w14:textId="77777777" w:rsidTr="0087362F">
        <w:tc>
          <w:tcPr>
            <w:tcW w:w="8640" w:type="dxa"/>
            <w:vAlign w:val="center"/>
            <w:hideMark/>
          </w:tcPr>
          <w:p w14:paraId="08E82B32" w14:textId="77777777" w:rsidR="0087362F" w:rsidRDefault="0087362F">
            <w:pPr>
              <w:pStyle w:val="bmdsTblBody"/>
            </w:pPr>
            <w:r>
              <w:rPr>
                <w:b/>
              </w:rPr>
              <w:t>GO:0046165</w:t>
            </w:r>
          </w:p>
          <w:p w14:paraId="4DCDD06A" w14:textId="77777777" w:rsidR="0087362F" w:rsidRDefault="0087362F">
            <w:pPr>
              <w:pStyle w:val="bmdsTblBody"/>
            </w:pPr>
            <w:r>
              <w:t>alcohol biosynthetic process</w:t>
            </w:r>
          </w:p>
        </w:tc>
        <w:tc>
          <w:tcPr>
            <w:tcW w:w="3806" w:type="dxa"/>
            <w:vAlign w:val="center"/>
            <w:hideMark/>
          </w:tcPr>
          <w:p w14:paraId="6BC155A3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3/41</w:t>
            </w:r>
          </w:p>
        </w:tc>
        <w:tc>
          <w:tcPr>
            <w:tcW w:w="3806" w:type="dxa"/>
            <w:vAlign w:val="center"/>
            <w:hideMark/>
          </w:tcPr>
          <w:p w14:paraId="72FF33F7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7%</w:t>
            </w:r>
          </w:p>
        </w:tc>
        <w:tc>
          <w:tcPr>
            <w:tcW w:w="3806" w:type="dxa"/>
            <w:vAlign w:val="center"/>
            <w:hideMark/>
          </w:tcPr>
          <w:p w14:paraId="43797E58" w14:textId="77777777" w:rsidR="0087362F" w:rsidRDefault="0087362F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hmgcs2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ephx1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cyp26b1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26F0DA4D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238.250</w:t>
            </w:r>
          </w:p>
        </w:tc>
        <w:tc>
          <w:tcPr>
            <w:tcW w:w="3806" w:type="dxa"/>
            <w:vAlign w:val="center"/>
            <w:hideMark/>
          </w:tcPr>
          <w:p w14:paraId="00F377C5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181.323-370.243</w:t>
            </w:r>
          </w:p>
        </w:tc>
        <w:tc>
          <w:tcPr>
            <w:tcW w:w="3806" w:type="dxa"/>
            <w:vAlign w:val="center"/>
            <w:hideMark/>
          </w:tcPr>
          <w:p w14:paraId="17467219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806" w:type="dxa"/>
            <w:vAlign w:val="center"/>
            <w:hideMark/>
          </w:tcPr>
          <w:p w14:paraId="0493DF09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0</w:t>
            </w:r>
          </w:p>
        </w:tc>
      </w:tr>
      <w:tr w:rsidR="0087362F" w14:paraId="7F2A1C1D" w14:textId="77777777" w:rsidTr="0087362F">
        <w:tc>
          <w:tcPr>
            <w:tcW w:w="8640" w:type="dxa"/>
            <w:vAlign w:val="center"/>
            <w:hideMark/>
          </w:tcPr>
          <w:p w14:paraId="2A402EB1" w14:textId="77777777" w:rsidR="0087362F" w:rsidRDefault="0087362F">
            <w:pPr>
              <w:pStyle w:val="bmdsTblBody"/>
            </w:pPr>
            <w:r>
              <w:rPr>
                <w:b/>
              </w:rPr>
              <w:t>GO:0045580</w:t>
            </w:r>
          </w:p>
          <w:p w14:paraId="7B4C1743" w14:textId="77777777" w:rsidR="0087362F" w:rsidRDefault="0087362F">
            <w:pPr>
              <w:pStyle w:val="bmdsTblBody"/>
            </w:pPr>
            <w:r>
              <w:t>regulation of T cell differentiation</w:t>
            </w:r>
          </w:p>
        </w:tc>
        <w:tc>
          <w:tcPr>
            <w:tcW w:w="3806" w:type="dxa"/>
            <w:vAlign w:val="center"/>
            <w:hideMark/>
          </w:tcPr>
          <w:p w14:paraId="312552D0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3/47</w:t>
            </w:r>
          </w:p>
        </w:tc>
        <w:tc>
          <w:tcPr>
            <w:tcW w:w="3806" w:type="dxa"/>
            <w:vAlign w:val="center"/>
            <w:hideMark/>
          </w:tcPr>
          <w:p w14:paraId="7FE6B792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6%</w:t>
            </w:r>
          </w:p>
        </w:tc>
        <w:tc>
          <w:tcPr>
            <w:tcW w:w="3806" w:type="dxa"/>
            <w:vAlign w:val="center"/>
            <w:hideMark/>
          </w:tcPr>
          <w:p w14:paraId="511D5D37" w14:textId="77777777" w:rsidR="0087362F" w:rsidRDefault="0087362F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vnn1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lilrb4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cyp26b1</w:t>
            </w:r>
            <w:proofErr w:type="spellEnd"/>
          </w:p>
        </w:tc>
        <w:tc>
          <w:tcPr>
            <w:tcW w:w="3806" w:type="dxa"/>
            <w:vAlign w:val="center"/>
            <w:hideMark/>
          </w:tcPr>
          <w:p w14:paraId="6E8DE683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238.250</w:t>
            </w:r>
          </w:p>
        </w:tc>
        <w:tc>
          <w:tcPr>
            <w:tcW w:w="3806" w:type="dxa"/>
            <w:vAlign w:val="center"/>
            <w:hideMark/>
          </w:tcPr>
          <w:p w14:paraId="54D12022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181.323-370.243</w:t>
            </w:r>
          </w:p>
        </w:tc>
        <w:tc>
          <w:tcPr>
            <w:tcW w:w="3806" w:type="dxa"/>
            <w:vAlign w:val="center"/>
            <w:hideMark/>
          </w:tcPr>
          <w:p w14:paraId="75CA8B98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3806" w:type="dxa"/>
            <w:vAlign w:val="center"/>
            <w:hideMark/>
          </w:tcPr>
          <w:p w14:paraId="765A3EDA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0</w:t>
            </w:r>
          </w:p>
        </w:tc>
      </w:tr>
      <w:tr w:rsidR="0087362F" w14:paraId="0FA75434" w14:textId="77777777" w:rsidTr="0087362F">
        <w:tc>
          <w:tcPr>
            <w:tcW w:w="864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D858C89" w14:textId="77777777" w:rsidR="0087362F" w:rsidRDefault="0087362F">
            <w:pPr>
              <w:pStyle w:val="bmdsTblBody"/>
            </w:pPr>
            <w:r>
              <w:rPr>
                <w:b/>
              </w:rPr>
              <w:t>GO:0021700</w:t>
            </w:r>
          </w:p>
          <w:p w14:paraId="576D0AF5" w14:textId="77777777" w:rsidR="0087362F" w:rsidRDefault="0087362F">
            <w:pPr>
              <w:pStyle w:val="bmdsTblBody"/>
            </w:pPr>
            <w:r>
              <w:t>developmental maturation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D4A32C5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3/51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28A7A44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6%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5818694" w14:textId="77777777" w:rsidR="0087362F" w:rsidRDefault="0087362F">
            <w:pPr>
              <w:pStyle w:val="bmdsTblBody"/>
              <w:jc w:val="center"/>
            </w:pPr>
            <w:proofErr w:type="spellStart"/>
            <w:r>
              <w:rPr>
                <w:sz w:val="16"/>
              </w:rPr>
              <w:t>sez6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fgg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c3</w:t>
            </w:r>
            <w:proofErr w:type="spellEnd"/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1514A99E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251.984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4BBE1AC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163.812-471.307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46CD6411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084BF2F" w14:textId="77777777" w:rsidR="0087362F" w:rsidRDefault="0087362F">
            <w:pPr>
              <w:pStyle w:val="bmdsTblBody"/>
              <w:jc w:val="center"/>
            </w:pPr>
            <w:r>
              <w:rPr>
                <w:sz w:val="16"/>
              </w:rPr>
              <w:t>1</w:t>
            </w:r>
          </w:p>
        </w:tc>
      </w:tr>
    </w:tbl>
    <w:p w14:paraId="21561879" w14:textId="77777777" w:rsidR="0087362F" w:rsidRDefault="0087362F" w:rsidP="0087362F">
      <w:pPr>
        <w:pStyle w:val="bmdsTblFootnote"/>
      </w:pPr>
      <w:r>
        <w:t>Official gene symbols from the Rat Genome Database are shown in the “Active Genes” column. Definitions of Gene Ontology terms were provided by the Gene Ontology Resource (http://geneontology.org/).</w:t>
      </w:r>
    </w:p>
    <w:p w14:paraId="2DBF8231" w14:textId="65A2596F" w:rsidR="00941D47" w:rsidRPr="008E2617" w:rsidRDefault="0087362F" w:rsidP="00941D47">
      <w:pPr>
        <w:pStyle w:val="bmdsTblFootnote"/>
      </w:pPr>
      <w:r>
        <w:rPr>
          <w:b/>
        </w:rPr>
        <w:t>GO process description version:</w:t>
      </w:r>
      <w:r>
        <w:t xml:space="preserve"> </w:t>
      </w:r>
      <w:r w:rsidR="00941D47" w:rsidRPr="000E6A0C">
        <w:rPr>
          <w:rFonts w:eastAsia="Calibri" w:cs="Times New Roman"/>
          <w:bCs/>
          <w:szCs w:val="18"/>
        </w:rPr>
        <w:t xml:space="preserve">https://cebs.niehs.nih.gov/cebs/study/002-00600-0002-000-0 </w:t>
      </w:r>
      <w:proofErr w:type="spellStart"/>
      <w:r w:rsidR="00081883">
        <w:rPr>
          <w:rFonts w:eastAsia="Calibri" w:cs="Times New Roman"/>
          <w:bCs/>
          <w:szCs w:val="18"/>
        </w:rPr>
        <w:t>V04132020</w:t>
      </w:r>
      <w:proofErr w:type="spellEnd"/>
    </w:p>
    <w:p w14:paraId="2F61D46D" w14:textId="26F26427" w:rsidR="0087362F" w:rsidRDefault="0087362F" w:rsidP="0087362F">
      <w:pPr>
        <w:pStyle w:val="bmdsTblFootnote"/>
      </w:pPr>
      <w:r>
        <w:rPr>
          <w:b/>
        </w:rPr>
        <w:t>GO:0045087 innate immune response:</w:t>
      </w:r>
      <w:r>
        <w:t xml:space="preserve"> Innate immune responses are defense responses mediated by germline encoded components that directly recognize components of potential pathogens.</w:t>
      </w:r>
    </w:p>
    <w:p w14:paraId="571F2340" w14:textId="77777777" w:rsidR="0087362F" w:rsidRDefault="0087362F" w:rsidP="0087362F">
      <w:pPr>
        <w:pStyle w:val="bmdsTblFootnote"/>
      </w:pPr>
      <w:r>
        <w:rPr>
          <w:b/>
        </w:rPr>
        <w:t>GO:0002253 activation of immune response:</w:t>
      </w:r>
      <w:r>
        <w:t xml:space="preserve"> Any process that initiates an immune response.</w:t>
      </w:r>
    </w:p>
    <w:p w14:paraId="60983D4B" w14:textId="77777777" w:rsidR="0087362F" w:rsidRDefault="0087362F" w:rsidP="0087362F">
      <w:pPr>
        <w:pStyle w:val="bmdsTblFootnote"/>
      </w:pPr>
      <w:r>
        <w:rPr>
          <w:b/>
        </w:rPr>
        <w:t>GO:0002250 adaptive immune response:</w:t>
      </w:r>
      <w:r>
        <w:t xml:space="preserve"> An immune response mediated by cells expressing specific receptors for antigen produced through a somatic diversification </w:t>
      </w:r>
      <w:proofErr w:type="gramStart"/>
      <w:r>
        <w:t>process, and</w:t>
      </w:r>
      <w:proofErr w:type="gramEnd"/>
      <w:r>
        <w:t xml:space="preserve"> allowing for an enhanced secondary response to subsequent exposures to the same antigen (immunological memory).</w:t>
      </w:r>
    </w:p>
    <w:p w14:paraId="4B74476D" w14:textId="77777777" w:rsidR="0087362F" w:rsidRDefault="0087362F" w:rsidP="0087362F">
      <w:pPr>
        <w:pStyle w:val="bmdsTblFootnote"/>
      </w:pPr>
      <w:r>
        <w:rPr>
          <w:b/>
        </w:rPr>
        <w:t>GO:0050729 positive regulation of inflammatory response:</w:t>
      </w:r>
      <w:r>
        <w:t xml:space="preserve"> Any process that activates or increases the frequency, </w:t>
      </w:r>
      <w:proofErr w:type="gramStart"/>
      <w:r>
        <w:t>rate</w:t>
      </w:r>
      <w:proofErr w:type="gramEnd"/>
      <w:r>
        <w:t xml:space="preserve"> or extent of the inflammatory response.</w:t>
      </w:r>
    </w:p>
    <w:p w14:paraId="46E510FD" w14:textId="77777777" w:rsidR="0087362F" w:rsidRDefault="0087362F" w:rsidP="0087362F">
      <w:pPr>
        <w:pStyle w:val="bmdsTblFootnote"/>
      </w:pPr>
      <w:r>
        <w:rPr>
          <w:b/>
        </w:rPr>
        <w:t xml:space="preserve">GO:0006690 </w:t>
      </w:r>
      <w:proofErr w:type="spellStart"/>
      <w:r>
        <w:rPr>
          <w:b/>
        </w:rPr>
        <w:t>icosanoid</w:t>
      </w:r>
      <w:proofErr w:type="spellEnd"/>
      <w:r>
        <w:rPr>
          <w:b/>
        </w:rPr>
        <w:t xml:space="preserve"> metabolic process:</w:t>
      </w:r>
      <w:r>
        <w:t xml:space="preserve"> The chemical reactions and pathways involving </w:t>
      </w:r>
      <w:proofErr w:type="spellStart"/>
      <w:r>
        <w:t>icosanoids</w:t>
      </w:r>
      <w:proofErr w:type="spellEnd"/>
      <w:r>
        <w:t xml:space="preserve">, any of a group of </w:t>
      </w:r>
      <w:proofErr w:type="spellStart"/>
      <w:r>
        <w:t>C20</w:t>
      </w:r>
      <w:proofErr w:type="spellEnd"/>
      <w:r>
        <w:t xml:space="preserve"> polyunsaturated fatty acids.</w:t>
      </w:r>
    </w:p>
    <w:p w14:paraId="5CC9A56E" w14:textId="77777777" w:rsidR="0087362F" w:rsidRDefault="0087362F" w:rsidP="0087362F">
      <w:pPr>
        <w:pStyle w:val="bmdsTblFootnote"/>
      </w:pPr>
      <w:r>
        <w:rPr>
          <w:b/>
        </w:rPr>
        <w:t>GO:0071385 cellular response to glucocorticoid stimulus:</w:t>
      </w:r>
      <w:r>
        <w:t xml:space="preserve"> Any process that results in a change in state or activity of a cell (in terms of movement, secretion, enzyme production, gene expression, etc.) </w:t>
      </w:r>
      <w:proofErr w:type="gramStart"/>
      <w:r>
        <w:t>as a result of</w:t>
      </w:r>
      <w:proofErr w:type="gramEnd"/>
      <w:r>
        <w:t xml:space="preserve"> a glucocorticoid stimulus. Glucocorticoids are hormonal </w:t>
      </w:r>
      <w:proofErr w:type="spellStart"/>
      <w:r>
        <w:t>C21</w:t>
      </w:r>
      <w:proofErr w:type="spellEnd"/>
      <w:r>
        <w:t xml:space="preserve"> corticosteroids synthesized from cholesterol with the ability to bind with the cortisol receptor and trigger similar effects. Glucocorticoids act primarily on carbohydrate and protein </w:t>
      </w:r>
      <w:proofErr w:type="gramStart"/>
      <w:r>
        <w:t>metabolism, and</w:t>
      </w:r>
      <w:proofErr w:type="gramEnd"/>
      <w:r>
        <w:t xml:space="preserve"> have anti-inflammatory effects.</w:t>
      </w:r>
    </w:p>
    <w:p w14:paraId="3EDC5FE7" w14:textId="77777777" w:rsidR="0087362F" w:rsidRDefault="0087362F" w:rsidP="0087362F">
      <w:pPr>
        <w:pStyle w:val="bmdsTblFootnote"/>
      </w:pPr>
      <w:r>
        <w:rPr>
          <w:b/>
        </w:rPr>
        <w:lastRenderedPageBreak/>
        <w:t>GO:1901568 fatty acid derivative metabolic process:</w:t>
      </w:r>
      <w:r>
        <w:t xml:space="preserve"> The chemical reactions and pathways involving fatty acid derivative.</w:t>
      </w:r>
    </w:p>
    <w:p w14:paraId="2757ECD2" w14:textId="77777777" w:rsidR="0087362F" w:rsidRDefault="0087362F" w:rsidP="0087362F">
      <w:pPr>
        <w:pStyle w:val="bmdsTblFootnote"/>
      </w:pPr>
      <w:r>
        <w:rPr>
          <w:b/>
        </w:rPr>
        <w:t>GO:0046165 alcohol biosynthetic process:</w:t>
      </w:r>
      <w:r>
        <w:t xml:space="preserve"> The chemical reactions and pathways resulting in the formation of alcohols, any of a class of compounds containing one or more hydroxyl groups attached to a saturated carbon atom.</w:t>
      </w:r>
    </w:p>
    <w:p w14:paraId="73250E33" w14:textId="77777777" w:rsidR="0087362F" w:rsidRDefault="0087362F" w:rsidP="0087362F">
      <w:pPr>
        <w:pStyle w:val="bmdsTblFootnote"/>
      </w:pPr>
      <w:r>
        <w:rPr>
          <w:b/>
        </w:rPr>
        <w:t>GO:0045580 regulation of T cell differentiation:</w:t>
      </w:r>
      <w:r>
        <w:t xml:space="preserve"> Any process that modulates the frequency, </w:t>
      </w:r>
      <w:proofErr w:type="gramStart"/>
      <w:r>
        <w:t>rate</w:t>
      </w:r>
      <w:proofErr w:type="gramEnd"/>
      <w:r>
        <w:t xml:space="preserve"> or extent of T cell differentiation.</w:t>
      </w:r>
    </w:p>
    <w:p w14:paraId="6F9EB987" w14:textId="77777777" w:rsidR="0087362F" w:rsidRDefault="0087362F" w:rsidP="0087362F">
      <w:pPr>
        <w:pStyle w:val="bmdsTblFootnote"/>
      </w:pPr>
      <w:r>
        <w:rPr>
          <w:b/>
        </w:rPr>
        <w:t>GO:0021700 developmental maturation:</w:t>
      </w:r>
      <w:r>
        <w:t xml:space="preserve"> A developmental process, independent of morphogenetic (shape) change, that is required for an anatomical structure, </w:t>
      </w:r>
      <w:proofErr w:type="gramStart"/>
      <w:r>
        <w:t>cell</w:t>
      </w:r>
      <w:proofErr w:type="gramEnd"/>
      <w:r>
        <w:t xml:space="preserve"> or cellular component to attain its fully functional state.</w:t>
      </w:r>
    </w:p>
    <w:p w14:paraId="680F2AC1" w14:textId="77777777" w:rsidR="00C505B6" w:rsidRDefault="00081883"/>
    <w:sectPr w:rsidR="00C5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CA"/>
    <w:rsid w:val="00081883"/>
    <w:rsid w:val="0021102E"/>
    <w:rsid w:val="006549F8"/>
    <w:rsid w:val="0087362F"/>
    <w:rsid w:val="00941D47"/>
    <w:rsid w:val="00E768CA"/>
    <w:rsid w:val="00F5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70BF"/>
  <w15:chartTrackingRefBased/>
  <w15:docId w15:val="{FC7BDEC6-43E7-4BF6-A533-DD5A6244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62F"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362F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7362F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bmdsTblBody">
    <w:name w:val="bmdsTblBody"/>
    <w:basedOn w:val="Normal"/>
    <w:qFormat/>
    <w:rsid w:val="0087362F"/>
    <w:rPr>
      <w:rFonts w:ascii="Times New Roman" w:hAnsi="Times New Roman"/>
      <w:sz w:val="18"/>
    </w:rPr>
  </w:style>
  <w:style w:type="paragraph" w:customStyle="1" w:styleId="bmdsTblFootnote">
    <w:name w:val="bmdsTblFootnote"/>
    <w:basedOn w:val="bmdsTblBody"/>
    <w:qFormat/>
    <w:rsid w:val="0087362F"/>
  </w:style>
  <w:style w:type="paragraph" w:customStyle="1" w:styleId="bmdsTblHeader">
    <w:name w:val="bmdsTblHeader"/>
    <w:basedOn w:val="bmdsTblBody"/>
    <w:qFormat/>
    <w:rsid w:val="008736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1103</Words>
  <Characters>6291</Characters>
  <Application>Microsoft Office Word</Application>
  <DocSecurity>0</DocSecurity>
  <Lines>52</Lines>
  <Paragraphs>14</Paragraphs>
  <ScaleCrop>false</ScaleCrop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Shihan (NIH/NIEHS) [C]</dc:creator>
  <cp:keywords/>
  <dc:description/>
  <cp:lastModifiedBy>He, Shihan (NIH/NIEHS) [C]</cp:lastModifiedBy>
  <cp:revision>5</cp:revision>
  <dcterms:created xsi:type="dcterms:W3CDTF">2021-05-25T22:05:00Z</dcterms:created>
  <dcterms:modified xsi:type="dcterms:W3CDTF">2021-07-26T20:09:00Z</dcterms:modified>
</cp:coreProperties>
</file>