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B9FB7B" w14:textId="77777777" w:rsidR="004038D2" w:rsidRDefault="004038D2" w:rsidP="004038D2">
      <w:pPr>
        <w:pStyle w:val="Heading3"/>
      </w:pPr>
      <w:r>
        <w:t>Male Kidney Top 10 Genes Ranked by Potency of Perturbation (Sorted by BMD Median)</w:t>
      </w:r>
    </w:p>
    <w:tbl>
      <w:tblPr>
        <w:tblW w:w="0" w:type="auto"/>
        <w:tblLook w:val="04A0" w:firstRow="1" w:lastRow="0" w:firstColumn="1" w:lastColumn="0" w:noHBand="0" w:noVBand="1"/>
      </w:tblPr>
      <w:tblGrid>
        <w:gridCol w:w="1947"/>
        <w:gridCol w:w="1222"/>
        <w:gridCol w:w="1761"/>
        <w:gridCol w:w="1461"/>
        <w:gridCol w:w="1463"/>
        <w:gridCol w:w="1506"/>
      </w:tblGrid>
      <w:tr w:rsidR="004038D2" w14:paraId="484A7EA5" w14:textId="77777777" w:rsidTr="004038D2">
        <w:tc>
          <w:tcPr>
            <w:tcW w:w="1947" w:type="dxa"/>
            <w:tcBorders>
              <w:top w:val="single" w:sz="2" w:space="0" w:color="000000"/>
              <w:left w:val="nil"/>
              <w:bottom w:val="single" w:sz="2" w:space="0" w:color="000000"/>
              <w:right w:val="nil"/>
            </w:tcBorders>
            <w:vAlign w:val="center"/>
            <w:hideMark/>
          </w:tcPr>
          <w:p w14:paraId="6EF19FC2" w14:textId="77777777" w:rsidR="004038D2" w:rsidRDefault="004038D2">
            <w:pPr>
              <w:pStyle w:val="bmdsTblBody"/>
            </w:pPr>
            <w:r>
              <w:rPr>
                <w:b/>
              </w:rPr>
              <w:t>Gene Symbol</w:t>
            </w:r>
          </w:p>
        </w:tc>
        <w:tc>
          <w:tcPr>
            <w:tcW w:w="1222" w:type="dxa"/>
            <w:tcBorders>
              <w:top w:val="single" w:sz="2" w:space="0" w:color="000000"/>
              <w:left w:val="nil"/>
              <w:bottom w:val="single" w:sz="2" w:space="0" w:color="000000"/>
              <w:right w:val="nil"/>
            </w:tcBorders>
            <w:vAlign w:val="center"/>
            <w:hideMark/>
          </w:tcPr>
          <w:p w14:paraId="468ABBE7" w14:textId="77777777" w:rsidR="004038D2" w:rsidRDefault="004038D2">
            <w:pPr>
              <w:pStyle w:val="bmdsTblHeader"/>
              <w:jc w:val="center"/>
            </w:pPr>
            <w:r>
              <w:t>Entrez Gene IDs</w:t>
            </w:r>
          </w:p>
        </w:tc>
        <w:tc>
          <w:tcPr>
            <w:tcW w:w="1761" w:type="dxa"/>
            <w:tcBorders>
              <w:top w:val="single" w:sz="2" w:space="0" w:color="000000"/>
              <w:left w:val="nil"/>
              <w:bottom w:val="single" w:sz="2" w:space="0" w:color="000000"/>
              <w:right w:val="nil"/>
            </w:tcBorders>
            <w:vAlign w:val="center"/>
            <w:hideMark/>
          </w:tcPr>
          <w:p w14:paraId="53577272" w14:textId="77777777" w:rsidR="004038D2" w:rsidRDefault="004038D2">
            <w:pPr>
              <w:pStyle w:val="bmdsTblHeader"/>
              <w:jc w:val="center"/>
            </w:pPr>
            <w:r>
              <w:t>Probe IDs</w:t>
            </w:r>
          </w:p>
        </w:tc>
        <w:tc>
          <w:tcPr>
            <w:tcW w:w="1461" w:type="dxa"/>
            <w:tcBorders>
              <w:top w:val="single" w:sz="2" w:space="0" w:color="000000"/>
              <w:left w:val="nil"/>
              <w:bottom w:val="single" w:sz="2" w:space="0" w:color="000000"/>
              <w:right w:val="nil"/>
            </w:tcBorders>
            <w:vAlign w:val="center"/>
            <w:hideMark/>
          </w:tcPr>
          <w:p w14:paraId="5CCE5DF9" w14:textId="77777777" w:rsidR="004038D2" w:rsidRDefault="004038D2">
            <w:pPr>
              <w:pStyle w:val="bmdsTblHeader"/>
              <w:jc w:val="center"/>
            </w:pPr>
            <w:proofErr w:type="spellStart"/>
            <w:r>
              <w:t>BMD</w:t>
            </w:r>
            <w:r>
              <w:rPr>
                <w:sz w:val="16"/>
                <w:vertAlign w:val="subscript"/>
              </w:rPr>
              <w:t>1Std</w:t>
            </w:r>
            <w:proofErr w:type="spellEnd"/>
            <w:r>
              <w:t xml:space="preserve"> (</w:t>
            </w:r>
            <w:proofErr w:type="spellStart"/>
            <w:r>
              <w:t>BMD</w:t>
            </w:r>
            <w:r>
              <w:rPr>
                <w:vertAlign w:val="subscript"/>
              </w:rPr>
              <w:t>L</w:t>
            </w:r>
            <w:r>
              <w:rPr>
                <w:sz w:val="16"/>
                <w:vertAlign w:val="subscript"/>
              </w:rPr>
              <w:t>1std</w:t>
            </w:r>
            <w:r>
              <w:t>-BMD</w:t>
            </w:r>
            <w:r>
              <w:rPr>
                <w:vertAlign w:val="subscript"/>
              </w:rPr>
              <w:t>U1std</w:t>
            </w:r>
            <w:proofErr w:type="spellEnd"/>
            <w:r>
              <w:t>) in mg/kg</w:t>
            </w:r>
          </w:p>
        </w:tc>
        <w:tc>
          <w:tcPr>
            <w:tcW w:w="1463" w:type="dxa"/>
            <w:tcBorders>
              <w:top w:val="single" w:sz="2" w:space="0" w:color="000000"/>
              <w:left w:val="nil"/>
              <w:bottom w:val="single" w:sz="2" w:space="0" w:color="000000"/>
              <w:right w:val="nil"/>
            </w:tcBorders>
            <w:vAlign w:val="center"/>
            <w:hideMark/>
          </w:tcPr>
          <w:p w14:paraId="73F7FC22" w14:textId="77777777" w:rsidR="004038D2" w:rsidRDefault="004038D2">
            <w:pPr>
              <w:pStyle w:val="bmdsTblHeader"/>
              <w:jc w:val="center"/>
            </w:pPr>
            <w:r>
              <w:t>Maximum Fold Change</w:t>
            </w:r>
          </w:p>
        </w:tc>
        <w:tc>
          <w:tcPr>
            <w:tcW w:w="1506" w:type="dxa"/>
            <w:tcBorders>
              <w:top w:val="single" w:sz="2" w:space="0" w:color="000000"/>
              <w:left w:val="nil"/>
              <w:bottom w:val="single" w:sz="2" w:space="0" w:color="000000"/>
              <w:right w:val="nil"/>
            </w:tcBorders>
            <w:vAlign w:val="center"/>
            <w:hideMark/>
          </w:tcPr>
          <w:p w14:paraId="0B90AD06" w14:textId="77777777" w:rsidR="004038D2" w:rsidRDefault="004038D2">
            <w:pPr>
              <w:pStyle w:val="bmdsTblHeader"/>
              <w:jc w:val="center"/>
            </w:pPr>
            <w:r>
              <w:t>Direction of Expression Change</w:t>
            </w:r>
          </w:p>
        </w:tc>
      </w:tr>
      <w:tr w:rsidR="004038D2" w14:paraId="6DDA5840" w14:textId="77777777" w:rsidTr="004038D2">
        <w:tc>
          <w:tcPr>
            <w:tcW w:w="1947" w:type="dxa"/>
            <w:vAlign w:val="center"/>
            <w:hideMark/>
          </w:tcPr>
          <w:p w14:paraId="6CE95402" w14:textId="77777777" w:rsidR="004038D2" w:rsidRDefault="004038D2">
            <w:pPr>
              <w:pStyle w:val="bmdsTblBody"/>
            </w:pPr>
            <w:proofErr w:type="spellStart"/>
            <w:r>
              <w:rPr>
                <w:b/>
              </w:rPr>
              <w:t>ugt2b7</w:t>
            </w:r>
            <w:proofErr w:type="spellEnd"/>
          </w:p>
        </w:tc>
        <w:tc>
          <w:tcPr>
            <w:tcW w:w="1222" w:type="dxa"/>
            <w:vAlign w:val="center"/>
            <w:hideMark/>
          </w:tcPr>
          <w:p w14:paraId="4E48C949" w14:textId="77777777" w:rsidR="004038D2" w:rsidRDefault="004038D2">
            <w:pPr>
              <w:pStyle w:val="bmdsTblBody"/>
              <w:jc w:val="center"/>
            </w:pPr>
            <w:r>
              <w:rPr>
                <w:sz w:val="16"/>
              </w:rPr>
              <w:t>286989</w:t>
            </w:r>
          </w:p>
        </w:tc>
        <w:tc>
          <w:tcPr>
            <w:tcW w:w="1761" w:type="dxa"/>
            <w:vAlign w:val="center"/>
            <w:hideMark/>
          </w:tcPr>
          <w:p w14:paraId="595ED966" w14:textId="77777777" w:rsidR="004038D2" w:rsidRDefault="004038D2">
            <w:pPr>
              <w:pStyle w:val="bmdsTblBody"/>
              <w:jc w:val="center"/>
            </w:pPr>
            <w:r>
              <w:rPr>
                <w:sz w:val="16"/>
              </w:rPr>
              <w:t>UGT2B7_33032</w:t>
            </w:r>
          </w:p>
        </w:tc>
        <w:tc>
          <w:tcPr>
            <w:tcW w:w="1461" w:type="dxa"/>
            <w:vAlign w:val="center"/>
            <w:hideMark/>
          </w:tcPr>
          <w:p w14:paraId="26C6FCC4" w14:textId="77777777" w:rsidR="004038D2" w:rsidRDefault="004038D2">
            <w:pPr>
              <w:pStyle w:val="bmdsTblBody"/>
              <w:jc w:val="center"/>
            </w:pPr>
            <w:r>
              <w:rPr>
                <w:sz w:val="16"/>
              </w:rPr>
              <w:t>4.139 (1.398-16.569)</w:t>
            </w:r>
          </w:p>
        </w:tc>
        <w:tc>
          <w:tcPr>
            <w:tcW w:w="1463" w:type="dxa"/>
            <w:vAlign w:val="center"/>
            <w:hideMark/>
          </w:tcPr>
          <w:p w14:paraId="3ADBB575" w14:textId="77777777" w:rsidR="004038D2" w:rsidRDefault="004038D2">
            <w:pPr>
              <w:pStyle w:val="bmdsTblBody"/>
              <w:jc w:val="center"/>
            </w:pPr>
            <w:r>
              <w:rPr>
                <w:sz w:val="16"/>
              </w:rPr>
              <w:t>3.6</w:t>
            </w:r>
          </w:p>
        </w:tc>
        <w:tc>
          <w:tcPr>
            <w:tcW w:w="1506" w:type="dxa"/>
            <w:vAlign w:val="center"/>
            <w:hideMark/>
          </w:tcPr>
          <w:p w14:paraId="19CD2392" w14:textId="77777777" w:rsidR="004038D2" w:rsidRDefault="004038D2">
            <w:pPr>
              <w:pStyle w:val="bmdsTblBody"/>
              <w:jc w:val="center"/>
            </w:pPr>
            <w:r>
              <w:rPr>
                <w:sz w:val="16"/>
              </w:rPr>
              <w:t>UP</w:t>
            </w:r>
          </w:p>
        </w:tc>
      </w:tr>
      <w:tr w:rsidR="004038D2" w14:paraId="7F2FC787" w14:textId="77777777" w:rsidTr="004038D2">
        <w:tc>
          <w:tcPr>
            <w:tcW w:w="1947" w:type="dxa"/>
            <w:vAlign w:val="center"/>
            <w:hideMark/>
          </w:tcPr>
          <w:p w14:paraId="6C7882A3" w14:textId="77777777" w:rsidR="004038D2" w:rsidRDefault="004038D2">
            <w:pPr>
              <w:pStyle w:val="bmdsTblBody"/>
            </w:pPr>
            <w:proofErr w:type="spellStart"/>
            <w:r>
              <w:rPr>
                <w:b/>
              </w:rPr>
              <w:t>ephx1</w:t>
            </w:r>
            <w:proofErr w:type="spellEnd"/>
          </w:p>
        </w:tc>
        <w:tc>
          <w:tcPr>
            <w:tcW w:w="1222" w:type="dxa"/>
            <w:vAlign w:val="center"/>
            <w:hideMark/>
          </w:tcPr>
          <w:p w14:paraId="66389CED" w14:textId="77777777" w:rsidR="004038D2" w:rsidRDefault="004038D2">
            <w:pPr>
              <w:pStyle w:val="bmdsTblBody"/>
              <w:jc w:val="center"/>
            </w:pPr>
            <w:r>
              <w:rPr>
                <w:sz w:val="16"/>
              </w:rPr>
              <w:t>25315</w:t>
            </w:r>
          </w:p>
        </w:tc>
        <w:tc>
          <w:tcPr>
            <w:tcW w:w="1761" w:type="dxa"/>
            <w:vAlign w:val="center"/>
            <w:hideMark/>
          </w:tcPr>
          <w:p w14:paraId="24E917BA" w14:textId="77777777" w:rsidR="004038D2" w:rsidRDefault="004038D2">
            <w:pPr>
              <w:pStyle w:val="bmdsTblBody"/>
              <w:jc w:val="center"/>
            </w:pPr>
            <w:r>
              <w:rPr>
                <w:sz w:val="16"/>
              </w:rPr>
              <w:t>EPHX1_8567</w:t>
            </w:r>
          </w:p>
        </w:tc>
        <w:tc>
          <w:tcPr>
            <w:tcW w:w="1461" w:type="dxa"/>
            <w:vAlign w:val="center"/>
            <w:hideMark/>
          </w:tcPr>
          <w:p w14:paraId="1D3FF611" w14:textId="77777777" w:rsidR="004038D2" w:rsidRDefault="004038D2">
            <w:pPr>
              <w:pStyle w:val="bmdsTblBody"/>
              <w:jc w:val="center"/>
            </w:pPr>
            <w:r>
              <w:rPr>
                <w:sz w:val="16"/>
              </w:rPr>
              <w:t>12.509 (3.282-61.397)</w:t>
            </w:r>
          </w:p>
        </w:tc>
        <w:tc>
          <w:tcPr>
            <w:tcW w:w="1463" w:type="dxa"/>
            <w:vAlign w:val="center"/>
            <w:hideMark/>
          </w:tcPr>
          <w:p w14:paraId="39CFA632" w14:textId="77777777" w:rsidR="004038D2" w:rsidRDefault="004038D2">
            <w:pPr>
              <w:pStyle w:val="bmdsTblBody"/>
              <w:jc w:val="center"/>
            </w:pPr>
            <w:r>
              <w:rPr>
                <w:sz w:val="16"/>
              </w:rPr>
              <w:t>2.1</w:t>
            </w:r>
          </w:p>
        </w:tc>
        <w:tc>
          <w:tcPr>
            <w:tcW w:w="1506" w:type="dxa"/>
            <w:vAlign w:val="center"/>
            <w:hideMark/>
          </w:tcPr>
          <w:p w14:paraId="6E279298" w14:textId="77777777" w:rsidR="004038D2" w:rsidRDefault="004038D2">
            <w:pPr>
              <w:pStyle w:val="bmdsTblBody"/>
              <w:jc w:val="center"/>
            </w:pPr>
            <w:r>
              <w:rPr>
                <w:sz w:val="16"/>
              </w:rPr>
              <w:t>UP</w:t>
            </w:r>
          </w:p>
        </w:tc>
      </w:tr>
      <w:tr w:rsidR="004038D2" w14:paraId="227B28E2" w14:textId="77777777" w:rsidTr="004038D2">
        <w:tc>
          <w:tcPr>
            <w:tcW w:w="1947" w:type="dxa"/>
            <w:vAlign w:val="center"/>
            <w:hideMark/>
          </w:tcPr>
          <w:p w14:paraId="67067F0D" w14:textId="77777777" w:rsidR="004038D2" w:rsidRDefault="004038D2">
            <w:pPr>
              <w:pStyle w:val="bmdsTblBody"/>
            </w:pPr>
            <w:proofErr w:type="spellStart"/>
            <w:r>
              <w:rPr>
                <w:b/>
              </w:rPr>
              <w:t>adgre1</w:t>
            </w:r>
            <w:proofErr w:type="spellEnd"/>
          </w:p>
        </w:tc>
        <w:tc>
          <w:tcPr>
            <w:tcW w:w="1222" w:type="dxa"/>
            <w:vAlign w:val="center"/>
            <w:hideMark/>
          </w:tcPr>
          <w:p w14:paraId="7F44FD0C" w14:textId="77777777" w:rsidR="004038D2" w:rsidRDefault="004038D2">
            <w:pPr>
              <w:pStyle w:val="bmdsTblBody"/>
              <w:jc w:val="center"/>
            </w:pPr>
            <w:r>
              <w:rPr>
                <w:sz w:val="16"/>
              </w:rPr>
              <w:t>316137</w:t>
            </w:r>
          </w:p>
        </w:tc>
        <w:tc>
          <w:tcPr>
            <w:tcW w:w="1761" w:type="dxa"/>
            <w:vAlign w:val="center"/>
            <w:hideMark/>
          </w:tcPr>
          <w:p w14:paraId="14ACA1B5" w14:textId="77777777" w:rsidR="004038D2" w:rsidRDefault="004038D2">
            <w:pPr>
              <w:pStyle w:val="bmdsTblBody"/>
              <w:jc w:val="center"/>
            </w:pPr>
            <w:r>
              <w:rPr>
                <w:sz w:val="16"/>
              </w:rPr>
              <w:t>EMR1_8558</w:t>
            </w:r>
          </w:p>
        </w:tc>
        <w:tc>
          <w:tcPr>
            <w:tcW w:w="1461" w:type="dxa"/>
            <w:vAlign w:val="center"/>
            <w:hideMark/>
          </w:tcPr>
          <w:p w14:paraId="3DC46968" w14:textId="77777777" w:rsidR="004038D2" w:rsidRDefault="004038D2">
            <w:pPr>
              <w:pStyle w:val="bmdsTblBody"/>
              <w:jc w:val="center"/>
            </w:pPr>
            <w:r>
              <w:rPr>
                <w:sz w:val="16"/>
              </w:rPr>
              <w:t>119.065 (89.170-178.281)</w:t>
            </w:r>
          </w:p>
        </w:tc>
        <w:tc>
          <w:tcPr>
            <w:tcW w:w="1463" w:type="dxa"/>
            <w:vAlign w:val="center"/>
            <w:hideMark/>
          </w:tcPr>
          <w:p w14:paraId="330C8DA7" w14:textId="77777777" w:rsidR="004038D2" w:rsidRDefault="004038D2">
            <w:pPr>
              <w:pStyle w:val="bmdsTblBody"/>
              <w:jc w:val="center"/>
            </w:pPr>
            <w:r>
              <w:rPr>
                <w:sz w:val="16"/>
              </w:rPr>
              <w:t>3.1</w:t>
            </w:r>
          </w:p>
        </w:tc>
        <w:tc>
          <w:tcPr>
            <w:tcW w:w="1506" w:type="dxa"/>
            <w:vAlign w:val="center"/>
            <w:hideMark/>
          </w:tcPr>
          <w:p w14:paraId="03A31577" w14:textId="77777777" w:rsidR="004038D2" w:rsidRDefault="004038D2">
            <w:pPr>
              <w:pStyle w:val="bmdsTblBody"/>
              <w:jc w:val="center"/>
            </w:pPr>
            <w:r>
              <w:rPr>
                <w:sz w:val="16"/>
              </w:rPr>
              <w:t>UP</w:t>
            </w:r>
          </w:p>
        </w:tc>
      </w:tr>
      <w:tr w:rsidR="004038D2" w14:paraId="4DBD0640" w14:textId="77777777" w:rsidTr="004038D2">
        <w:tc>
          <w:tcPr>
            <w:tcW w:w="1947" w:type="dxa"/>
            <w:vAlign w:val="center"/>
            <w:hideMark/>
          </w:tcPr>
          <w:p w14:paraId="69DC37D9" w14:textId="77777777" w:rsidR="004038D2" w:rsidRDefault="004038D2">
            <w:pPr>
              <w:pStyle w:val="bmdsTblBody"/>
            </w:pPr>
            <w:proofErr w:type="spellStart"/>
            <w:r>
              <w:rPr>
                <w:b/>
              </w:rPr>
              <w:t>map2</w:t>
            </w:r>
            <w:proofErr w:type="spellEnd"/>
          </w:p>
        </w:tc>
        <w:tc>
          <w:tcPr>
            <w:tcW w:w="1222" w:type="dxa"/>
            <w:vAlign w:val="center"/>
            <w:hideMark/>
          </w:tcPr>
          <w:p w14:paraId="40576031" w14:textId="77777777" w:rsidR="004038D2" w:rsidRDefault="004038D2">
            <w:pPr>
              <w:pStyle w:val="bmdsTblBody"/>
              <w:jc w:val="center"/>
            </w:pPr>
            <w:r>
              <w:rPr>
                <w:sz w:val="16"/>
              </w:rPr>
              <w:t>25595</w:t>
            </w:r>
          </w:p>
        </w:tc>
        <w:tc>
          <w:tcPr>
            <w:tcW w:w="1761" w:type="dxa"/>
            <w:vAlign w:val="center"/>
            <w:hideMark/>
          </w:tcPr>
          <w:p w14:paraId="731201E7" w14:textId="77777777" w:rsidR="004038D2" w:rsidRDefault="004038D2">
            <w:pPr>
              <w:pStyle w:val="bmdsTblBody"/>
              <w:jc w:val="center"/>
            </w:pPr>
            <w:r>
              <w:rPr>
                <w:sz w:val="16"/>
              </w:rPr>
              <w:t>MAP2_32650</w:t>
            </w:r>
          </w:p>
        </w:tc>
        <w:tc>
          <w:tcPr>
            <w:tcW w:w="1461" w:type="dxa"/>
            <w:vAlign w:val="center"/>
            <w:hideMark/>
          </w:tcPr>
          <w:p w14:paraId="14DFED69" w14:textId="77777777" w:rsidR="004038D2" w:rsidRDefault="004038D2">
            <w:pPr>
              <w:pStyle w:val="bmdsTblBody"/>
              <w:jc w:val="center"/>
            </w:pPr>
            <w:r>
              <w:rPr>
                <w:sz w:val="16"/>
              </w:rPr>
              <w:t>145.437 (104.718-237.081)</w:t>
            </w:r>
          </w:p>
        </w:tc>
        <w:tc>
          <w:tcPr>
            <w:tcW w:w="1463" w:type="dxa"/>
            <w:vAlign w:val="center"/>
            <w:hideMark/>
          </w:tcPr>
          <w:p w14:paraId="6DA39D99" w14:textId="77777777" w:rsidR="004038D2" w:rsidRDefault="004038D2">
            <w:pPr>
              <w:pStyle w:val="bmdsTblBody"/>
              <w:jc w:val="center"/>
            </w:pPr>
            <w:r>
              <w:rPr>
                <w:sz w:val="16"/>
              </w:rPr>
              <w:t>2.1</w:t>
            </w:r>
          </w:p>
        </w:tc>
        <w:tc>
          <w:tcPr>
            <w:tcW w:w="1506" w:type="dxa"/>
            <w:vAlign w:val="center"/>
            <w:hideMark/>
          </w:tcPr>
          <w:p w14:paraId="38E1E939" w14:textId="77777777" w:rsidR="004038D2" w:rsidRDefault="004038D2">
            <w:pPr>
              <w:pStyle w:val="bmdsTblBody"/>
              <w:jc w:val="center"/>
            </w:pPr>
            <w:r>
              <w:rPr>
                <w:sz w:val="16"/>
              </w:rPr>
              <w:t>UP</w:t>
            </w:r>
          </w:p>
        </w:tc>
      </w:tr>
      <w:tr w:rsidR="004038D2" w14:paraId="5BB27146" w14:textId="77777777" w:rsidTr="004038D2">
        <w:tc>
          <w:tcPr>
            <w:tcW w:w="1947" w:type="dxa"/>
            <w:vAlign w:val="center"/>
            <w:hideMark/>
          </w:tcPr>
          <w:p w14:paraId="67A59738" w14:textId="77777777" w:rsidR="004038D2" w:rsidRDefault="004038D2">
            <w:pPr>
              <w:pStyle w:val="bmdsTblBody"/>
            </w:pPr>
            <w:proofErr w:type="spellStart"/>
            <w:r>
              <w:rPr>
                <w:b/>
              </w:rPr>
              <w:t>slc6a1</w:t>
            </w:r>
            <w:proofErr w:type="spellEnd"/>
          </w:p>
        </w:tc>
        <w:tc>
          <w:tcPr>
            <w:tcW w:w="1222" w:type="dxa"/>
            <w:vAlign w:val="center"/>
            <w:hideMark/>
          </w:tcPr>
          <w:p w14:paraId="56A7349B" w14:textId="77777777" w:rsidR="004038D2" w:rsidRDefault="004038D2">
            <w:pPr>
              <w:pStyle w:val="bmdsTblBody"/>
              <w:jc w:val="center"/>
            </w:pPr>
            <w:r>
              <w:rPr>
                <w:sz w:val="16"/>
              </w:rPr>
              <w:t>79212</w:t>
            </w:r>
          </w:p>
        </w:tc>
        <w:tc>
          <w:tcPr>
            <w:tcW w:w="1761" w:type="dxa"/>
            <w:vAlign w:val="center"/>
            <w:hideMark/>
          </w:tcPr>
          <w:p w14:paraId="679A0269" w14:textId="77777777" w:rsidR="004038D2" w:rsidRDefault="004038D2">
            <w:pPr>
              <w:pStyle w:val="bmdsTblBody"/>
              <w:jc w:val="center"/>
            </w:pPr>
            <w:r>
              <w:rPr>
                <w:sz w:val="16"/>
              </w:rPr>
              <w:t>SLC6A1_32594</w:t>
            </w:r>
          </w:p>
        </w:tc>
        <w:tc>
          <w:tcPr>
            <w:tcW w:w="1461" w:type="dxa"/>
            <w:vAlign w:val="center"/>
            <w:hideMark/>
          </w:tcPr>
          <w:p w14:paraId="1A5B69C3" w14:textId="77777777" w:rsidR="004038D2" w:rsidRDefault="004038D2">
            <w:pPr>
              <w:pStyle w:val="bmdsTblBody"/>
              <w:jc w:val="center"/>
            </w:pPr>
            <w:r>
              <w:rPr>
                <w:sz w:val="16"/>
              </w:rPr>
              <w:t>145.445 (104.722-237.101)</w:t>
            </w:r>
          </w:p>
        </w:tc>
        <w:tc>
          <w:tcPr>
            <w:tcW w:w="1463" w:type="dxa"/>
            <w:vAlign w:val="center"/>
            <w:hideMark/>
          </w:tcPr>
          <w:p w14:paraId="3FF51BBB" w14:textId="77777777" w:rsidR="004038D2" w:rsidRDefault="004038D2">
            <w:pPr>
              <w:pStyle w:val="bmdsTblBody"/>
              <w:jc w:val="center"/>
            </w:pPr>
            <w:r>
              <w:rPr>
                <w:sz w:val="16"/>
              </w:rPr>
              <w:t>2.0</w:t>
            </w:r>
          </w:p>
        </w:tc>
        <w:tc>
          <w:tcPr>
            <w:tcW w:w="1506" w:type="dxa"/>
            <w:vAlign w:val="center"/>
            <w:hideMark/>
          </w:tcPr>
          <w:p w14:paraId="3935B01F" w14:textId="77777777" w:rsidR="004038D2" w:rsidRDefault="004038D2">
            <w:pPr>
              <w:pStyle w:val="bmdsTblBody"/>
              <w:jc w:val="center"/>
            </w:pPr>
            <w:r>
              <w:rPr>
                <w:sz w:val="16"/>
              </w:rPr>
              <w:t>UP</w:t>
            </w:r>
          </w:p>
        </w:tc>
      </w:tr>
      <w:tr w:rsidR="004038D2" w14:paraId="2AEF3783" w14:textId="77777777" w:rsidTr="004038D2">
        <w:tc>
          <w:tcPr>
            <w:tcW w:w="1947" w:type="dxa"/>
            <w:vAlign w:val="center"/>
            <w:hideMark/>
          </w:tcPr>
          <w:p w14:paraId="67B0665D" w14:textId="77777777" w:rsidR="004038D2" w:rsidRDefault="004038D2">
            <w:pPr>
              <w:pStyle w:val="bmdsTblBody"/>
            </w:pPr>
            <w:proofErr w:type="spellStart"/>
            <w:r>
              <w:rPr>
                <w:b/>
              </w:rPr>
              <w:t>naaa</w:t>
            </w:r>
            <w:proofErr w:type="spellEnd"/>
          </w:p>
        </w:tc>
        <w:tc>
          <w:tcPr>
            <w:tcW w:w="1222" w:type="dxa"/>
            <w:vAlign w:val="center"/>
            <w:hideMark/>
          </w:tcPr>
          <w:p w14:paraId="7553F91D" w14:textId="77777777" w:rsidR="004038D2" w:rsidRDefault="004038D2">
            <w:pPr>
              <w:pStyle w:val="bmdsTblBody"/>
              <w:jc w:val="center"/>
            </w:pPr>
            <w:r>
              <w:rPr>
                <w:sz w:val="16"/>
              </w:rPr>
              <w:t>497009</w:t>
            </w:r>
          </w:p>
        </w:tc>
        <w:tc>
          <w:tcPr>
            <w:tcW w:w="1761" w:type="dxa"/>
            <w:vAlign w:val="center"/>
            <w:hideMark/>
          </w:tcPr>
          <w:p w14:paraId="3188CCFD" w14:textId="77777777" w:rsidR="004038D2" w:rsidRDefault="004038D2">
            <w:pPr>
              <w:pStyle w:val="bmdsTblBody"/>
              <w:jc w:val="center"/>
            </w:pPr>
            <w:r>
              <w:rPr>
                <w:sz w:val="16"/>
              </w:rPr>
              <w:t>NAAA_32484</w:t>
            </w:r>
          </w:p>
        </w:tc>
        <w:tc>
          <w:tcPr>
            <w:tcW w:w="1461" w:type="dxa"/>
            <w:vAlign w:val="center"/>
            <w:hideMark/>
          </w:tcPr>
          <w:p w14:paraId="682CDEB3" w14:textId="77777777" w:rsidR="004038D2" w:rsidRDefault="004038D2">
            <w:pPr>
              <w:pStyle w:val="bmdsTblBody"/>
              <w:jc w:val="center"/>
            </w:pPr>
            <w:r>
              <w:rPr>
                <w:sz w:val="16"/>
              </w:rPr>
              <w:t>151.002 (107.821-250.969)</w:t>
            </w:r>
          </w:p>
        </w:tc>
        <w:tc>
          <w:tcPr>
            <w:tcW w:w="1463" w:type="dxa"/>
            <w:vAlign w:val="center"/>
            <w:hideMark/>
          </w:tcPr>
          <w:p w14:paraId="1C685C3C" w14:textId="77777777" w:rsidR="004038D2" w:rsidRDefault="004038D2">
            <w:pPr>
              <w:pStyle w:val="bmdsTblBody"/>
              <w:jc w:val="center"/>
            </w:pPr>
            <w:r>
              <w:rPr>
                <w:sz w:val="16"/>
              </w:rPr>
              <w:t>2.2</w:t>
            </w:r>
          </w:p>
        </w:tc>
        <w:tc>
          <w:tcPr>
            <w:tcW w:w="1506" w:type="dxa"/>
            <w:vAlign w:val="center"/>
            <w:hideMark/>
          </w:tcPr>
          <w:p w14:paraId="6AA73027" w14:textId="77777777" w:rsidR="004038D2" w:rsidRDefault="004038D2">
            <w:pPr>
              <w:pStyle w:val="bmdsTblBody"/>
              <w:jc w:val="center"/>
            </w:pPr>
            <w:r>
              <w:rPr>
                <w:sz w:val="16"/>
              </w:rPr>
              <w:t>UP</w:t>
            </w:r>
          </w:p>
        </w:tc>
      </w:tr>
      <w:tr w:rsidR="004038D2" w14:paraId="249F7281" w14:textId="77777777" w:rsidTr="004038D2">
        <w:tc>
          <w:tcPr>
            <w:tcW w:w="1947" w:type="dxa"/>
            <w:vAlign w:val="center"/>
            <w:hideMark/>
          </w:tcPr>
          <w:p w14:paraId="36317348" w14:textId="77777777" w:rsidR="004038D2" w:rsidRDefault="004038D2">
            <w:pPr>
              <w:pStyle w:val="bmdsTblBody"/>
            </w:pPr>
            <w:proofErr w:type="spellStart"/>
            <w:r>
              <w:rPr>
                <w:b/>
              </w:rPr>
              <w:t>il1b</w:t>
            </w:r>
            <w:proofErr w:type="spellEnd"/>
          </w:p>
        </w:tc>
        <w:tc>
          <w:tcPr>
            <w:tcW w:w="1222" w:type="dxa"/>
            <w:vAlign w:val="center"/>
            <w:hideMark/>
          </w:tcPr>
          <w:p w14:paraId="22207111" w14:textId="77777777" w:rsidR="004038D2" w:rsidRDefault="004038D2">
            <w:pPr>
              <w:pStyle w:val="bmdsTblBody"/>
              <w:jc w:val="center"/>
            </w:pPr>
            <w:r>
              <w:rPr>
                <w:sz w:val="16"/>
              </w:rPr>
              <w:t>24494</w:t>
            </w:r>
          </w:p>
        </w:tc>
        <w:tc>
          <w:tcPr>
            <w:tcW w:w="1761" w:type="dxa"/>
            <w:vAlign w:val="center"/>
            <w:hideMark/>
          </w:tcPr>
          <w:p w14:paraId="519E5FD5" w14:textId="77777777" w:rsidR="004038D2" w:rsidRDefault="004038D2">
            <w:pPr>
              <w:pStyle w:val="bmdsTblBody"/>
              <w:jc w:val="center"/>
            </w:pPr>
            <w:r>
              <w:rPr>
                <w:sz w:val="16"/>
              </w:rPr>
              <w:t>IL1B_8892</w:t>
            </w:r>
          </w:p>
        </w:tc>
        <w:tc>
          <w:tcPr>
            <w:tcW w:w="1461" w:type="dxa"/>
            <w:vAlign w:val="center"/>
            <w:hideMark/>
          </w:tcPr>
          <w:p w14:paraId="43CF533C" w14:textId="77777777" w:rsidR="004038D2" w:rsidRDefault="004038D2">
            <w:pPr>
              <w:pStyle w:val="bmdsTblBody"/>
              <w:jc w:val="center"/>
            </w:pPr>
            <w:r>
              <w:rPr>
                <w:sz w:val="16"/>
              </w:rPr>
              <w:t>153.991 (109.464-258.668)</w:t>
            </w:r>
          </w:p>
        </w:tc>
        <w:tc>
          <w:tcPr>
            <w:tcW w:w="1463" w:type="dxa"/>
            <w:vAlign w:val="center"/>
            <w:hideMark/>
          </w:tcPr>
          <w:p w14:paraId="03B8EB02" w14:textId="77777777" w:rsidR="004038D2" w:rsidRDefault="004038D2">
            <w:pPr>
              <w:pStyle w:val="bmdsTblBody"/>
              <w:jc w:val="center"/>
            </w:pPr>
            <w:r>
              <w:rPr>
                <w:sz w:val="16"/>
              </w:rPr>
              <w:t>2.9</w:t>
            </w:r>
          </w:p>
        </w:tc>
        <w:tc>
          <w:tcPr>
            <w:tcW w:w="1506" w:type="dxa"/>
            <w:vAlign w:val="center"/>
            <w:hideMark/>
          </w:tcPr>
          <w:p w14:paraId="681C66C5" w14:textId="77777777" w:rsidR="004038D2" w:rsidRDefault="004038D2">
            <w:pPr>
              <w:pStyle w:val="bmdsTblBody"/>
              <w:jc w:val="center"/>
            </w:pPr>
            <w:r>
              <w:rPr>
                <w:sz w:val="16"/>
              </w:rPr>
              <w:t>UP</w:t>
            </w:r>
          </w:p>
        </w:tc>
      </w:tr>
      <w:tr w:rsidR="004038D2" w14:paraId="59F12DB5" w14:textId="77777777" w:rsidTr="004038D2">
        <w:tc>
          <w:tcPr>
            <w:tcW w:w="1947" w:type="dxa"/>
            <w:vAlign w:val="center"/>
            <w:hideMark/>
          </w:tcPr>
          <w:p w14:paraId="13F877A9" w14:textId="77777777" w:rsidR="004038D2" w:rsidRDefault="004038D2">
            <w:pPr>
              <w:pStyle w:val="bmdsTblBody"/>
            </w:pPr>
            <w:proofErr w:type="spellStart"/>
            <w:r>
              <w:rPr>
                <w:b/>
              </w:rPr>
              <w:t>cyp24a1</w:t>
            </w:r>
            <w:proofErr w:type="spellEnd"/>
          </w:p>
        </w:tc>
        <w:tc>
          <w:tcPr>
            <w:tcW w:w="1222" w:type="dxa"/>
            <w:vAlign w:val="center"/>
            <w:hideMark/>
          </w:tcPr>
          <w:p w14:paraId="3E135C18" w14:textId="77777777" w:rsidR="004038D2" w:rsidRDefault="004038D2">
            <w:pPr>
              <w:pStyle w:val="bmdsTblBody"/>
              <w:jc w:val="center"/>
            </w:pPr>
            <w:r>
              <w:rPr>
                <w:sz w:val="16"/>
              </w:rPr>
              <w:t>25279</w:t>
            </w:r>
          </w:p>
        </w:tc>
        <w:tc>
          <w:tcPr>
            <w:tcW w:w="1761" w:type="dxa"/>
            <w:vAlign w:val="center"/>
            <w:hideMark/>
          </w:tcPr>
          <w:p w14:paraId="07C0EC6C" w14:textId="77777777" w:rsidR="004038D2" w:rsidRDefault="004038D2">
            <w:pPr>
              <w:pStyle w:val="bmdsTblBody"/>
              <w:jc w:val="center"/>
            </w:pPr>
            <w:r>
              <w:rPr>
                <w:sz w:val="16"/>
              </w:rPr>
              <w:t>CYP24A1_32574</w:t>
            </w:r>
          </w:p>
        </w:tc>
        <w:tc>
          <w:tcPr>
            <w:tcW w:w="1461" w:type="dxa"/>
            <w:vAlign w:val="center"/>
            <w:hideMark/>
          </w:tcPr>
          <w:p w14:paraId="0F3AADB3" w14:textId="77777777" w:rsidR="004038D2" w:rsidRDefault="004038D2">
            <w:pPr>
              <w:pStyle w:val="bmdsTblBody"/>
              <w:jc w:val="center"/>
            </w:pPr>
            <w:r>
              <w:rPr>
                <w:sz w:val="16"/>
              </w:rPr>
              <w:t>189.111 (127.579-364.247)</w:t>
            </w:r>
          </w:p>
        </w:tc>
        <w:tc>
          <w:tcPr>
            <w:tcW w:w="1463" w:type="dxa"/>
            <w:vAlign w:val="center"/>
            <w:hideMark/>
          </w:tcPr>
          <w:p w14:paraId="592663EC" w14:textId="77777777" w:rsidR="004038D2" w:rsidRDefault="004038D2">
            <w:pPr>
              <w:pStyle w:val="bmdsTblBody"/>
              <w:jc w:val="center"/>
            </w:pPr>
            <w:r>
              <w:rPr>
                <w:sz w:val="16"/>
              </w:rPr>
              <w:t>2.2</w:t>
            </w:r>
          </w:p>
        </w:tc>
        <w:tc>
          <w:tcPr>
            <w:tcW w:w="1506" w:type="dxa"/>
            <w:vAlign w:val="center"/>
            <w:hideMark/>
          </w:tcPr>
          <w:p w14:paraId="30D441E8" w14:textId="77777777" w:rsidR="004038D2" w:rsidRDefault="004038D2">
            <w:pPr>
              <w:pStyle w:val="bmdsTblBody"/>
              <w:jc w:val="center"/>
            </w:pPr>
            <w:r>
              <w:rPr>
                <w:sz w:val="16"/>
              </w:rPr>
              <w:t>UP</w:t>
            </w:r>
          </w:p>
        </w:tc>
      </w:tr>
      <w:tr w:rsidR="004038D2" w14:paraId="3682AEB7" w14:textId="77777777" w:rsidTr="004038D2">
        <w:tc>
          <w:tcPr>
            <w:tcW w:w="1947" w:type="dxa"/>
            <w:vAlign w:val="center"/>
            <w:hideMark/>
          </w:tcPr>
          <w:p w14:paraId="14735D16" w14:textId="77777777" w:rsidR="004038D2" w:rsidRDefault="004038D2">
            <w:pPr>
              <w:pStyle w:val="bmdsTblBody"/>
            </w:pPr>
            <w:proofErr w:type="spellStart"/>
            <w:r>
              <w:rPr>
                <w:b/>
              </w:rPr>
              <w:t>top2a</w:t>
            </w:r>
            <w:proofErr w:type="spellEnd"/>
          </w:p>
        </w:tc>
        <w:tc>
          <w:tcPr>
            <w:tcW w:w="1222" w:type="dxa"/>
            <w:vAlign w:val="center"/>
            <w:hideMark/>
          </w:tcPr>
          <w:p w14:paraId="28C6D0C9" w14:textId="77777777" w:rsidR="004038D2" w:rsidRDefault="004038D2">
            <w:pPr>
              <w:pStyle w:val="bmdsTblBody"/>
              <w:jc w:val="center"/>
            </w:pPr>
            <w:r>
              <w:rPr>
                <w:sz w:val="16"/>
              </w:rPr>
              <w:t>360243</w:t>
            </w:r>
          </w:p>
        </w:tc>
        <w:tc>
          <w:tcPr>
            <w:tcW w:w="1761" w:type="dxa"/>
            <w:vAlign w:val="center"/>
            <w:hideMark/>
          </w:tcPr>
          <w:p w14:paraId="6E4486E8" w14:textId="77777777" w:rsidR="004038D2" w:rsidRDefault="004038D2">
            <w:pPr>
              <w:pStyle w:val="bmdsTblBody"/>
              <w:jc w:val="center"/>
            </w:pPr>
            <w:r>
              <w:rPr>
                <w:sz w:val="16"/>
              </w:rPr>
              <w:t>TOP2A_10059</w:t>
            </w:r>
          </w:p>
        </w:tc>
        <w:tc>
          <w:tcPr>
            <w:tcW w:w="1461" w:type="dxa"/>
            <w:vAlign w:val="center"/>
            <w:hideMark/>
          </w:tcPr>
          <w:p w14:paraId="55F874F5" w14:textId="77777777" w:rsidR="004038D2" w:rsidRDefault="004038D2">
            <w:pPr>
              <w:pStyle w:val="bmdsTblBody"/>
              <w:jc w:val="center"/>
            </w:pPr>
            <w:r>
              <w:rPr>
                <w:sz w:val="16"/>
              </w:rPr>
              <w:t>203.468 (108.442-572.253)</w:t>
            </w:r>
          </w:p>
        </w:tc>
        <w:tc>
          <w:tcPr>
            <w:tcW w:w="1463" w:type="dxa"/>
            <w:vAlign w:val="center"/>
            <w:hideMark/>
          </w:tcPr>
          <w:p w14:paraId="37ABAC74" w14:textId="77777777" w:rsidR="004038D2" w:rsidRDefault="004038D2">
            <w:pPr>
              <w:pStyle w:val="bmdsTblBody"/>
              <w:jc w:val="center"/>
            </w:pPr>
            <w:r>
              <w:rPr>
                <w:sz w:val="16"/>
              </w:rPr>
              <w:t>2.1</w:t>
            </w:r>
          </w:p>
        </w:tc>
        <w:tc>
          <w:tcPr>
            <w:tcW w:w="1506" w:type="dxa"/>
            <w:vAlign w:val="center"/>
            <w:hideMark/>
          </w:tcPr>
          <w:p w14:paraId="5003A2A0" w14:textId="77777777" w:rsidR="004038D2" w:rsidRDefault="004038D2">
            <w:pPr>
              <w:pStyle w:val="bmdsTblBody"/>
              <w:jc w:val="center"/>
            </w:pPr>
            <w:r>
              <w:rPr>
                <w:sz w:val="16"/>
              </w:rPr>
              <w:t>DOWN</w:t>
            </w:r>
          </w:p>
        </w:tc>
      </w:tr>
      <w:tr w:rsidR="004038D2" w14:paraId="1F746CE7" w14:textId="77777777" w:rsidTr="004038D2">
        <w:tc>
          <w:tcPr>
            <w:tcW w:w="1947" w:type="dxa"/>
            <w:tcBorders>
              <w:top w:val="nil"/>
              <w:left w:val="nil"/>
              <w:bottom w:val="single" w:sz="2" w:space="0" w:color="000000"/>
              <w:right w:val="nil"/>
            </w:tcBorders>
            <w:vAlign w:val="center"/>
            <w:hideMark/>
          </w:tcPr>
          <w:p w14:paraId="4E756D1C" w14:textId="77777777" w:rsidR="004038D2" w:rsidRDefault="004038D2">
            <w:pPr>
              <w:pStyle w:val="bmdsTblBody"/>
            </w:pPr>
            <w:proofErr w:type="spellStart"/>
            <w:r>
              <w:rPr>
                <w:b/>
              </w:rPr>
              <w:t>nsg1</w:t>
            </w:r>
            <w:proofErr w:type="spellEnd"/>
          </w:p>
        </w:tc>
        <w:tc>
          <w:tcPr>
            <w:tcW w:w="1222" w:type="dxa"/>
            <w:tcBorders>
              <w:top w:val="nil"/>
              <w:left w:val="nil"/>
              <w:bottom w:val="single" w:sz="2" w:space="0" w:color="000000"/>
              <w:right w:val="nil"/>
            </w:tcBorders>
            <w:vAlign w:val="center"/>
            <w:hideMark/>
          </w:tcPr>
          <w:p w14:paraId="09E7A1B8" w14:textId="77777777" w:rsidR="004038D2" w:rsidRDefault="004038D2">
            <w:pPr>
              <w:pStyle w:val="bmdsTblBody"/>
              <w:jc w:val="center"/>
            </w:pPr>
            <w:r>
              <w:rPr>
                <w:sz w:val="16"/>
              </w:rPr>
              <w:t>25247</w:t>
            </w:r>
          </w:p>
        </w:tc>
        <w:tc>
          <w:tcPr>
            <w:tcW w:w="1761" w:type="dxa"/>
            <w:tcBorders>
              <w:top w:val="nil"/>
              <w:left w:val="nil"/>
              <w:bottom w:val="single" w:sz="2" w:space="0" w:color="000000"/>
              <w:right w:val="nil"/>
            </w:tcBorders>
            <w:vAlign w:val="center"/>
            <w:hideMark/>
          </w:tcPr>
          <w:p w14:paraId="1633BB74" w14:textId="77777777" w:rsidR="004038D2" w:rsidRDefault="004038D2">
            <w:pPr>
              <w:pStyle w:val="bmdsTblBody"/>
              <w:jc w:val="center"/>
            </w:pPr>
            <w:r>
              <w:rPr>
                <w:sz w:val="16"/>
              </w:rPr>
              <w:t>NSG1_32675</w:t>
            </w:r>
          </w:p>
        </w:tc>
        <w:tc>
          <w:tcPr>
            <w:tcW w:w="1461" w:type="dxa"/>
            <w:tcBorders>
              <w:top w:val="nil"/>
              <w:left w:val="nil"/>
              <w:bottom w:val="single" w:sz="2" w:space="0" w:color="000000"/>
              <w:right w:val="nil"/>
            </w:tcBorders>
            <w:vAlign w:val="center"/>
            <w:hideMark/>
          </w:tcPr>
          <w:p w14:paraId="59AB200A" w14:textId="77777777" w:rsidR="004038D2" w:rsidRDefault="004038D2">
            <w:pPr>
              <w:pStyle w:val="bmdsTblBody"/>
              <w:jc w:val="center"/>
            </w:pPr>
            <w:r>
              <w:rPr>
                <w:sz w:val="16"/>
              </w:rPr>
              <w:t>216.472 (166.237-342.576)</w:t>
            </w:r>
          </w:p>
        </w:tc>
        <w:tc>
          <w:tcPr>
            <w:tcW w:w="1463" w:type="dxa"/>
            <w:tcBorders>
              <w:top w:val="nil"/>
              <w:left w:val="nil"/>
              <w:bottom w:val="single" w:sz="2" w:space="0" w:color="000000"/>
              <w:right w:val="nil"/>
            </w:tcBorders>
            <w:vAlign w:val="center"/>
            <w:hideMark/>
          </w:tcPr>
          <w:p w14:paraId="14F903BD" w14:textId="77777777" w:rsidR="004038D2" w:rsidRDefault="004038D2">
            <w:pPr>
              <w:pStyle w:val="bmdsTblBody"/>
              <w:jc w:val="center"/>
            </w:pPr>
            <w:r>
              <w:rPr>
                <w:sz w:val="16"/>
              </w:rPr>
              <w:t>3.4</w:t>
            </w:r>
          </w:p>
        </w:tc>
        <w:tc>
          <w:tcPr>
            <w:tcW w:w="1506" w:type="dxa"/>
            <w:tcBorders>
              <w:top w:val="nil"/>
              <w:left w:val="nil"/>
              <w:bottom w:val="single" w:sz="2" w:space="0" w:color="000000"/>
              <w:right w:val="nil"/>
            </w:tcBorders>
            <w:vAlign w:val="center"/>
            <w:hideMark/>
          </w:tcPr>
          <w:p w14:paraId="301136EA" w14:textId="77777777" w:rsidR="004038D2" w:rsidRDefault="004038D2">
            <w:pPr>
              <w:pStyle w:val="bmdsTblBody"/>
              <w:jc w:val="center"/>
            </w:pPr>
            <w:r>
              <w:rPr>
                <w:sz w:val="16"/>
              </w:rPr>
              <w:t>UP</w:t>
            </w:r>
          </w:p>
        </w:tc>
      </w:tr>
    </w:tbl>
    <w:p w14:paraId="50828EBE" w14:textId="77777777" w:rsidR="004038D2" w:rsidRDefault="004038D2" w:rsidP="004038D2">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Descriptions of orthologous human genes are shown due to the increased detail that is available in public resources such as </w:t>
      </w:r>
      <w:proofErr w:type="spellStart"/>
      <w:r>
        <w:rPr>
          <w:rFonts w:ascii="Times New Roman" w:hAnsi="Times New Roman" w:cs="Times New Roman"/>
          <w:color w:val="000000" w:themeColor="text1"/>
          <w:sz w:val="18"/>
          <w:szCs w:val="18"/>
        </w:rPr>
        <w:t>UniprotKB</w:t>
      </w:r>
      <w:proofErr w:type="spellEnd"/>
      <w:r>
        <w:rPr>
          <w:rFonts w:ascii="Times New Roman" w:hAnsi="Times New Roman" w:cs="Times New Roman"/>
          <w:color w:val="000000" w:themeColor="text1"/>
          <w:sz w:val="18"/>
          <w:szCs w:val="18"/>
        </w:rPr>
        <w:t xml:space="preserve"> (</w:t>
      </w:r>
      <w:hyperlink r:id="rId4" w:history="1">
        <w:r>
          <w:rPr>
            <w:rStyle w:val="Hyperlink"/>
            <w:rFonts w:ascii="Times New Roman" w:hAnsi="Times New Roman" w:cs="Times New Roman"/>
            <w:sz w:val="18"/>
            <w:szCs w:val="18"/>
          </w:rPr>
          <w:t>https://www.uniprot.org/uniprot/</w:t>
        </w:r>
      </w:hyperlink>
      <w:r>
        <w:rPr>
          <w:rFonts w:ascii="Times New Roman" w:hAnsi="Times New Roman" w:cs="Times New Roman"/>
          <w:color w:val="000000" w:themeColor="text1"/>
          <w:sz w:val="18"/>
          <w:szCs w:val="18"/>
        </w:rPr>
        <w:t>) and Entrez Gene (</w:t>
      </w:r>
      <w:hyperlink r:id="rId5" w:history="1">
        <w:r>
          <w:rPr>
            <w:rStyle w:val="Hyperlink"/>
            <w:rFonts w:ascii="Times New Roman" w:hAnsi="Times New Roman" w:cs="Times New Roman"/>
            <w:sz w:val="18"/>
            <w:szCs w:val="18"/>
          </w:rPr>
          <w:t>https://www.ncbi.nlm.nih.gov/gene/</w:t>
        </w:r>
      </w:hyperlink>
      <w:r>
        <w:rPr>
          <w:rFonts w:ascii="Times New Roman" w:hAnsi="Times New Roman" w:cs="Times New Roman"/>
          <w:color w:val="000000" w:themeColor="text1"/>
          <w:sz w:val="18"/>
          <w:szCs w:val="18"/>
        </w:rPr>
        <w:t xml:space="preserve">). Human </w:t>
      </w:r>
      <w:proofErr w:type="spellStart"/>
      <w:r>
        <w:rPr>
          <w:rFonts w:ascii="Times New Roman" w:hAnsi="Times New Roman" w:cs="Times New Roman"/>
          <w:color w:val="000000" w:themeColor="text1"/>
          <w:sz w:val="18"/>
          <w:szCs w:val="18"/>
        </w:rPr>
        <w:t>UniprotKB</w:t>
      </w:r>
      <w:proofErr w:type="spellEnd"/>
      <w:r>
        <w:rPr>
          <w:rFonts w:ascii="Times New Roman" w:hAnsi="Times New Roman" w:cs="Times New Roman"/>
          <w:color w:val="000000" w:themeColor="text1"/>
          <w:sz w:val="18"/>
          <w:szCs w:val="18"/>
        </w:rPr>
        <w:t xml:space="preserve"> was used as primary resource due to the greater breadth of annotation and depth of functional detail that is provided. Rat </w:t>
      </w:r>
      <w:proofErr w:type="spellStart"/>
      <w:r>
        <w:rPr>
          <w:rFonts w:ascii="Times New Roman" w:hAnsi="Times New Roman" w:cs="Times New Roman"/>
          <w:color w:val="000000" w:themeColor="text1"/>
          <w:sz w:val="18"/>
          <w:szCs w:val="18"/>
        </w:rPr>
        <w:t>UniprotKB</w:t>
      </w:r>
      <w:proofErr w:type="spellEnd"/>
      <w:r>
        <w:rPr>
          <w:rFonts w:ascii="Times New Roman" w:hAnsi="Times New Roman" w:cs="Times New Roman"/>
          <w:color w:val="000000" w:themeColor="text1"/>
          <w:sz w:val="18"/>
          <w:szCs w:val="18"/>
        </w:rPr>
        <w:t xml:space="preserve"> was used as the second resource if the primary source did not provide a detailed description of function. Human Entrez gene summary was used as third resource. Rat Entrez gene summary was used as the fourth resource.</w:t>
      </w:r>
    </w:p>
    <w:p w14:paraId="0C090B57" w14:textId="3EA8FE62" w:rsidR="007A3CE6" w:rsidRPr="008E2617" w:rsidRDefault="004038D2" w:rsidP="007A3CE6">
      <w:pPr>
        <w:pStyle w:val="bmdsTblFootnote"/>
      </w:pPr>
      <w:r>
        <w:rPr>
          <w:b/>
        </w:rPr>
        <w:t xml:space="preserve">Gene definition version: </w:t>
      </w:r>
      <w:r w:rsidR="007A3CE6" w:rsidRPr="000E6A0C">
        <w:rPr>
          <w:rFonts w:eastAsia="Calibri" w:cs="Times New Roman"/>
          <w:bCs/>
          <w:szCs w:val="18"/>
        </w:rPr>
        <w:t xml:space="preserve">https://cebs.niehs.nih.gov/cebs/study/002-00600-0002-000-0 </w:t>
      </w:r>
      <w:proofErr w:type="spellStart"/>
      <w:r w:rsidR="007A3CE6" w:rsidRPr="000E6A0C">
        <w:rPr>
          <w:rFonts w:eastAsia="Calibri" w:cs="Times New Roman"/>
          <w:bCs/>
          <w:szCs w:val="18"/>
        </w:rPr>
        <w:t>V052</w:t>
      </w:r>
      <w:r w:rsidR="00F568B2">
        <w:rPr>
          <w:rFonts w:eastAsia="Calibri" w:cs="Times New Roman"/>
          <w:bCs/>
          <w:szCs w:val="18"/>
        </w:rPr>
        <w:t>8</w:t>
      </w:r>
      <w:r w:rsidR="007A3CE6" w:rsidRPr="000E6A0C">
        <w:rPr>
          <w:rFonts w:eastAsia="Calibri" w:cs="Times New Roman"/>
          <w:bCs/>
          <w:szCs w:val="18"/>
        </w:rPr>
        <w:t>2021</w:t>
      </w:r>
      <w:proofErr w:type="spellEnd"/>
    </w:p>
    <w:p w14:paraId="27079435" w14:textId="5204BA6F" w:rsidR="004038D2" w:rsidRDefault="004038D2" w:rsidP="004038D2">
      <w:pPr>
        <w:pStyle w:val="bmdsTblFootnote"/>
      </w:pPr>
      <w:proofErr w:type="spellStart"/>
      <w:r>
        <w:rPr>
          <w:b/>
        </w:rPr>
        <w:t>Ugt2b7</w:t>
      </w:r>
      <w:proofErr w:type="spellEnd"/>
      <w:r>
        <w:rPr>
          <w:b/>
        </w:rPr>
        <w:t>:</w:t>
      </w:r>
      <w:r>
        <w:rPr>
          <w:i/>
        </w:rPr>
        <w:t xml:space="preserve"> Human </w:t>
      </w:r>
      <w:proofErr w:type="spellStart"/>
      <w:r>
        <w:rPr>
          <w:i/>
        </w:rPr>
        <w:t>Uniprot</w:t>
      </w:r>
      <w:proofErr w:type="spellEnd"/>
      <w:r>
        <w:rPr>
          <w:i/>
        </w:rPr>
        <w:t xml:space="preserve"> function (Human UGT2B7):</w:t>
      </w:r>
      <w:r>
        <w:t xml:space="preserve"> UDP-glucuronosyltransferase (UGT) that catalyzes phase II biotransformation reactions in which lipophilic substrates are conjugated with glucuronic acid to increase the metabolite's water solubility, thereby facilitating excretion into either the urine or bile (</w:t>
      </w:r>
      <w:proofErr w:type="spellStart"/>
      <w:r>
        <w:t>PubMed10702251</w:t>
      </w:r>
      <w:proofErr w:type="spellEnd"/>
      <w:r>
        <w:t xml:space="preserve">, </w:t>
      </w:r>
      <w:proofErr w:type="spellStart"/>
      <w:r>
        <w:t>PubMed15472229</w:t>
      </w:r>
      <w:proofErr w:type="spellEnd"/>
      <w:r>
        <w:t xml:space="preserve">, </w:t>
      </w:r>
      <w:proofErr w:type="spellStart"/>
      <w:r>
        <w:t>PubMed15470161</w:t>
      </w:r>
      <w:proofErr w:type="spellEnd"/>
      <w:r>
        <w:t xml:space="preserve">, </w:t>
      </w:r>
      <w:proofErr w:type="spellStart"/>
      <w:r>
        <w:t>PubMed18674515</w:t>
      </w:r>
      <w:proofErr w:type="spellEnd"/>
      <w:r>
        <w:t xml:space="preserve">, </w:t>
      </w:r>
      <w:proofErr w:type="spellStart"/>
      <w:r>
        <w:t>PubMed18719240</w:t>
      </w:r>
      <w:proofErr w:type="spellEnd"/>
      <w:r>
        <w:t xml:space="preserve">, </w:t>
      </w:r>
      <w:proofErr w:type="spellStart"/>
      <w:r>
        <w:t>PubMed19022937</w:t>
      </w:r>
      <w:proofErr w:type="spellEnd"/>
      <w:r>
        <w:t xml:space="preserve">, </w:t>
      </w:r>
      <w:proofErr w:type="spellStart"/>
      <w:r>
        <w:t>PubMed23288867</w:t>
      </w:r>
      <w:proofErr w:type="spellEnd"/>
      <w:r>
        <w:t xml:space="preserve">, </w:t>
      </w:r>
      <w:proofErr w:type="spellStart"/>
      <w:r>
        <w:t>PubMed23756265</w:t>
      </w:r>
      <w:proofErr w:type="spellEnd"/>
      <w:r>
        <w:t xml:space="preserve">, </w:t>
      </w:r>
      <w:proofErr w:type="spellStart"/>
      <w:r>
        <w:t>PubMed26220143</w:t>
      </w:r>
      <w:proofErr w:type="spellEnd"/>
      <w:r>
        <w:t xml:space="preserve">, </w:t>
      </w:r>
      <w:proofErr w:type="spellStart"/>
      <w:r>
        <w:t>PubMed17442341</w:t>
      </w:r>
      <w:proofErr w:type="spellEnd"/>
      <w:r>
        <w:t xml:space="preserve">). Essential for the elimination and detoxification of drugs, </w:t>
      </w:r>
      <w:proofErr w:type="gramStart"/>
      <w:r>
        <w:t>xenobiotics</w:t>
      </w:r>
      <w:proofErr w:type="gramEnd"/>
      <w:r>
        <w:t xml:space="preserve"> and endogenous compounds (</w:t>
      </w:r>
      <w:proofErr w:type="spellStart"/>
      <w:r>
        <w:t>PubMed15470161</w:t>
      </w:r>
      <w:proofErr w:type="spellEnd"/>
      <w:r>
        <w:t xml:space="preserve">, </w:t>
      </w:r>
      <w:proofErr w:type="spellStart"/>
      <w:r>
        <w:t>PubMed18674515</w:t>
      </w:r>
      <w:proofErr w:type="spellEnd"/>
      <w:r>
        <w:t xml:space="preserve">, </w:t>
      </w:r>
      <w:proofErr w:type="spellStart"/>
      <w:r>
        <w:t>PubMed23756265</w:t>
      </w:r>
      <w:proofErr w:type="spellEnd"/>
      <w:r>
        <w:t xml:space="preserve">). Catalyzes the glucuronidation of endogenous steroid hormones such as androgens (epitestosterone, androsterone) and estrogens (estradiol, </w:t>
      </w:r>
      <w:proofErr w:type="spellStart"/>
      <w:r>
        <w:t>epiestradiol</w:t>
      </w:r>
      <w:proofErr w:type="spellEnd"/>
      <w:r>
        <w:t>, estriol, catechol estrogens) (</w:t>
      </w:r>
      <w:proofErr w:type="spellStart"/>
      <w:r>
        <w:t>PubMed2159463</w:t>
      </w:r>
      <w:proofErr w:type="spellEnd"/>
      <w:r>
        <w:t xml:space="preserve">, </w:t>
      </w:r>
      <w:proofErr w:type="spellStart"/>
      <w:r>
        <w:t>PubMed15472229</w:t>
      </w:r>
      <w:proofErr w:type="spellEnd"/>
      <w:r>
        <w:t xml:space="preserve">, </w:t>
      </w:r>
      <w:proofErr w:type="spellStart"/>
      <w:r>
        <w:t>PubMed18719240</w:t>
      </w:r>
      <w:proofErr w:type="spellEnd"/>
      <w:r>
        <w:t xml:space="preserve">, </w:t>
      </w:r>
      <w:proofErr w:type="spellStart"/>
      <w:r>
        <w:t>PubMed19022937</w:t>
      </w:r>
      <w:proofErr w:type="spellEnd"/>
      <w:r>
        <w:t xml:space="preserve">, </w:t>
      </w:r>
      <w:proofErr w:type="spellStart"/>
      <w:r>
        <w:t>PubMed23288867</w:t>
      </w:r>
      <w:proofErr w:type="spellEnd"/>
      <w:r>
        <w:t xml:space="preserve">, </w:t>
      </w:r>
      <w:proofErr w:type="spellStart"/>
      <w:r>
        <w:t>PubMed26220143</w:t>
      </w:r>
      <w:proofErr w:type="spellEnd"/>
      <w:r>
        <w:t xml:space="preserve">, </w:t>
      </w:r>
      <w:proofErr w:type="spellStart"/>
      <w:r>
        <w:t>PubMed17442341</w:t>
      </w:r>
      <w:proofErr w:type="spellEnd"/>
      <w:r>
        <w:t>). Also regulates the levels of retinoic acid, a major metabolite of vitamin A involved in apoptosis, cellular growth and differentiation, and embryonic development (</w:t>
      </w:r>
      <w:proofErr w:type="spellStart"/>
      <w:r>
        <w:t>PubMed10702251</w:t>
      </w:r>
      <w:proofErr w:type="spellEnd"/>
      <w:r>
        <w:t>). Contributes to bile acid (BA) detoxification by catalyzing the glucuronidation of BA substrates, which are natural detergents for dietary lipids absorption (</w:t>
      </w:r>
      <w:proofErr w:type="spellStart"/>
      <w:r>
        <w:t>PubMed23756265</w:t>
      </w:r>
      <w:proofErr w:type="spellEnd"/>
      <w:r>
        <w:t xml:space="preserve">). Involved in the glucuronidation of the AGTR1 angiotensin receptor antagonist losartan, </w:t>
      </w:r>
      <w:proofErr w:type="spellStart"/>
      <w:r>
        <w:t>caderastan</w:t>
      </w:r>
      <w:proofErr w:type="spellEnd"/>
      <w:r>
        <w:t xml:space="preserve"> and </w:t>
      </w:r>
      <w:proofErr w:type="spellStart"/>
      <w:r>
        <w:t>zolarsatan</w:t>
      </w:r>
      <w:proofErr w:type="spellEnd"/>
      <w:r>
        <w:t>, drugs which can inhibit the effect of angiotensin II (</w:t>
      </w:r>
      <w:proofErr w:type="spellStart"/>
      <w:r>
        <w:t>PubMed18674515</w:t>
      </w:r>
      <w:proofErr w:type="spellEnd"/>
      <w:r>
        <w:t>). Also metabolizes mycophenolate, an immunosuppressive agent (</w:t>
      </w:r>
      <w:proofErr w:type="spellStart"/>
      <w:r>
        <w:t>PubMed15470161</w:t>
      </w:r>
      <w:proofErr w:type="spellEnd"/>
      <w:r>
        <w:t>). {</w:t>
      </w:r>
      <w:proofErr w:type="spellStart"/>
      <w:r>
        <w:t>ECO0000269|PubMed10702251</w:t>
      </w:r>
      <w:proofErr w:type="spellEnd"/>
      <w:r>
        <w:t xml:space="preserve">, </w:t>
      </w:r>
      <w:proofErr w:type="spellStart"/>
      <w:r>
        <w:t>ECO0000269|PubMed15470161</w:t>
      </w:r>
      <w:proofErr w:type="spellEnd"/>
      <w:r>
        <w:t xml:space="preserve">, </w:t>
      </w:r>
      <w:proofErr w:type="spellStart"/>
      <w:r>
        <w:t>ECO0000269|PubMed15472229</w:t>
      </w:r>
      <w:proofErr w:type="spellEnd"/>
      <w:r>
        <w:t xml:space="preserve">, </w:t>
      </w:r>
      <w:proofErr w:type="spellStart"/>
      <w:r>
        <w:t>ECO0000269|PubMed17442341</w:t>
      </w:r>
      <w:proofErr w:type="spellEnd"/>
      <w:r>
        <w:t xml:space="preserve">, </w:t>
      </w:r>
      <w:proofErr w:type="spellStart"/>
      <w:r>
        <w:t>ECO0000269|PubMed18674515</w:t>
      </w:r>
      <w:proofErr w:type="spellEnd"/>
      <w:r>
        <w:t xml:space="preserve">, </w:t>
      </w:r>
      <w:proofErr w:type="spellStart"/>
      <w:r>
        <w:t>ECO0000269|PubMed18719240</w:t>
      </w:r>
      <w:proofErr w:type="spellEnd"/>
      <w:r>
        <w:t xml:space="preserve">, </w:t>
      </w:r>
      <w:proofErr w:type="spellStart"/>
      <w:r>
        <w:t>ECO0000269|PubMed19022937</w:t>
      </w:r>
      <w:proofErr w:type="spellEnd"/>
      <w:r>
        <w:t xml:space="preserve">, </w:t>
      </w:r>
      <w:proofErr w:type="spellStart"/>
      <w:r>
        <w:t>ECO0000269|PubMed2159463</w:t>
      </w:r>
      <w:proofErr w:type="spellEnd"/>
      <w:r>
        <w:t xml:space="preserve">, </w:t>
      </w:r>
      <w:proofErr w:type="spellStart"/>
      <w:r>
        <w:t>ECO0000269|PubMed23288867</w:t>
      </w:r>
      <w:proofErr w:type="spellEnd"/>
      <w:r>
        <w:t xml:space="preserve">, </w:t>
      </w:r>
      <w:proofErr w:type="spellStart"/>
      <w:r>
        <w:t>ECO0000269|PubMed23756265</w:t>
      </w:r>
      <w:proofErr w:type="spellEnd"/>
      <w:r>
        <w:t xml:space="preserve">, </w:t>
      </w:r>
      <w:proofErr w:type="spellStart"/>
      <w:r>
        <w:t>ECO0000269|PubMed26220143</w:t>
      </w:r>
      <w:proofErr w:type="spellEnd"/>
      <w:r>
        <w:t>}.</w:t>
      </w:r>
    </w:p>
    <w:p w14:paraId="68CD8A38" w14:textId="77777777" w:rsidR="004038D2" w:rsidRDefault="004038D2" w:rsidP="004038D2">
      <w:pPr>
        <w:pStyle w:val="bmdsTblFootnote"/>
      </w:pPr>
      <w:proofErr w:type="spellStart"/>
      <w:r>
        <w:rPr>
          <w:b/>
        </w:rPr>
        <w:t>Ephx1</w:t>
      </w:r>
      <w:proofErr w:type="spellEnd"/>
      <w:r>
        <w:rPr>
          <w:b/>
        </w:rPr>
        <w:t>:</w:t>
      </w:r>
      <w:r>
        <w:rPr>
          <w:i/>
        </w:rPr>
        <w:t xml:space="preserve"> Human </w:t>
      </w:r>
      <w:proofErr w:type="spellStart"/>
      <w:r>
        <w:rPr>
          <w:i/>
        </w:rPr>
        <w:t>Uniprot</w:t>
      </w:r>
      <w:proofErr w:type="spellEnd"/>
      <w:r>
        <w:rPr>
          <w:i/>
        </w:rPr>
        <w:t xml:space="preserve"> function (Human EPHX1):</w:t>
      </w:r>
      <w:r>
        <w:t xml:space="preserve"> Biotransformation enzyme that catalyzes the hydrolysis of arene and aliphatic epoxides to less reactive and more water soluble </w:t>
      </w:r>
      <w:proofErr w:type="spellStart"/>
      <w:r>
        <w:t>dihydrodiols</w:t>
      </w:r>
      <w:proofErr w:type="spellEnd"/>
      <w:r>
        <w:t xml:space="preserve"> by the trans addition of water (By similarity). Plays a role in the metabolism of endogenous lipids such as epoxide-containing fatty acids (</w:t>
      </w:r>
      <w:proofErr w:type="spellStart"/>
      <w:r>
        <w:t>PubMed22798687</w:t>
      </w:r>
      <w:proofErr w:type="spellEnd"/>
      <w:r>
        <w:t>). Metabolizes the abundant endocannabinoid 2-</w:t>
      </w:r>
      <w:proofErr w:type="spellStart"/>
      <w:r>
        <w:t>arachidonoylglycerol</w:t>
      </w:r>
      <w:proofErr w:type="spellEnd"/>
      <w:r>
        <w:t xml:space="preserve"> (2-AG) to free arachidonic acid (AA) and glycerol (</w:t>
      </w:r>
      <w:proofErr w:type="spellStart"/>
      <w:r>
        <w:t>PubMed24958911</w:t>
      </w:r>
      <w:proofErr w:type="spellEnd"/>
      <w:r>
        <w:t>). {</w:t>
      </w:r>
      <w:proofErr w:type="spellStart"/>
      <w:r>
        <w:t>ECO0000250|UniProtKBP07687</w:t>
      </w:r>
      <w:proofErr w:type="spellEnd"/>
      <w:r>
        <w:t xml:space="preserve">, </w:t>
      </w:r>
      <w:proofErr w:type="spellStart"/>
      <w:r>
        <w:t>ECO0000269|PubMed22798687</w:t>
      </w:r>
      <w:proofErr w:type="spellEnd"/>
      <w:r>
        <w:t xml:space="preserve">, </w:t>
      </w:r>
      <w:proofErr w:type="spellStart"/>
      <w:r>
        <w:t>ECO0000269|PubMed24958911</w:t>
      </w:r>
      <w:proofErr w:type="spellEnd"/>
      <w:r>
        <w:t>}.</w:t>
      </w:r>
    </w:p>
    <w:p w14:paraId="303C85CC" w14:textId="77777777" w:rsidR="004038D2" w:rsidRDefault="004038D2" w:rsidP="004038D2">
      <w:pPr>
        <w:pStyle w:val="bmdsTblFootnote"/>
      </w:pPr>
      <w:proofErr w:type="spellStart"/>
      <w:r>
        <w:rPr>
          <w:b/>
        </w:rPr>
        <w:t>Adgre1</w:t>
      </w:r>
      <w:proofErr w:type="spellEnd"/>
      <w:r>
        <w:rPr>
          <w:b/>
        </w:rPr>
        <w:t>:</w:t>
      </w:r>
      <w:r>
        <w:rPr>
          <w:i/>
        </w:rPr>
        <w:t xml:space="preserve"> Human </w:t>
      </w:r>
      <w:proofErr w:type="spellStart"/>
      <w:r>
        <w:rPr>
          <w:i/>
        </w:rPr>
        <w:t>Uniprot</w:t>
      </w:r>
      <w:proofErr w:type="spellEnd"/>
      <w:r>
        <w:rPr>
          <w:i/>
        </w:rPr>
        <w:t xml:space="preserve"> function (Human ADGRE1):</w:t>
      </w:r>
      <w:r>
        <w:t xml:space="preserve"> Orphan receptor involved in cell adhesion and probably in cell-cell interactions specifically involving cells of the immune system. May play a role in regulatory T-cells (Treg) development. {</w:t>
      </w:r>
      <w:proofErr w:type="spellStart"/>
      <w:r>
        <w:t>ECO0000250|UniProtKBQ61549</w:t>
      </w:r>
      <w:proofErr w:type="spellEnd"/>
      <w:r>
        <w:t>}.</w:t>
      </w:r>
    </w:p>
    <w:p w14:paraId="1CE5BBD4" w14:textId="77777777" w:rsidR="004038D2" w:rsidRDefault="004038D2" w:rsidP="004038D2">
      <w:pPr>
        <w:pStyle w:val="bmdsTblFootnote"/>
      </w:pPr>
      <w:proofErr w:type="spellStart"/>
      <w:r>
        <w:rPr>
          <w:b/>
        </w:rPr>
        <w:t>Map2</w:t>
      </w:r>
      <w:proofErr w:type="spellEnd"/>
      <w:r>
        <w:rPr>
          <w:b/>
        </w:rPr>
        <w:t>:</w:t>
      </w:r>
      <w:r>
        <w:rPr>
          <w:i/>
        </w:rPr>
        <w:t xml:space="preserve"> Human </w:t>
      </w:r>
      <w:proofErr w:type="spellStart"/>
      <w:r>
        <w:rPr>
          <w:i/>
        </w:rPr>
        <w:t>Uniprot</w:t>
      </w:r>
      <w:proofErr w:type="spellEnd"/>
      <w:r>
        <w:rPr>
          <w:i/>
        </w:rPr>
        <w:t xml:space="preserve"> function (Human MAP2):</w:t>
      </w:r>
      <w:r>
        <w:t xml:space="preserve"> The exact function of MAP2 is unknown but MAPs may stabilize the microtubules against depolymerization. They also seem to have a stiffening effect on microtubules.</w:t>
      </w:r>
    </w:p>
    <w:p w14:paraId="346369E4" w14:textId="77777777" w:rsidR="004038D2" w:rsidRDefault="004038D2" w:rsidP="004038D2">
      <w:pPr>
        <w:pStyle w:val="bmdsTblFootnote"/>
      </w:pPr>
      <w:proofErr w:type="spellStart"/>
      <w:r>
        <w:rPr>
          <w:b/>
        </w:rPr>
        <w:t>Slc6a1</w:t>
      </w:r>
      <w:proofErr w:type="spellEnd"/>
      <w:r>
        <w:rPr>
          <w:b/>
        </w:rPr>
        <w:t>:</w:t>
      </w:r>
      <w:r>
        <w:rPr>
          <w:i/>
        </w:rPr>
        <w:t xml:space="preserve"> Human </w:t>
      </w:r>
      <w:proofErr w:type="spellStart"/>
      <w:r>
        <w:rPr>
          <w:i/>
        </w:rPr>
        <w:t>Uniprot</w:t>
      </w:r>
      <w:proofErr w:type="spellEnd"/>
      <w:r>
        <w:rPr>
          <w:i/>
        </w:rPr>
        <w:t xml:space="preserve"> function (Human SLC6A1):</w:t>
      </w:r>
      <w:r>
        <w:t xml:space="preserve"> Terminates the action of GABA by its high affinity sodium-dependent reuptake into presynaptic terminals.</w:t>
      </w:r>
    </w:p>
    <w:p w14:paraId="64E21A4E" w14:textId="77777777" w:rsidR="004038D2" w:rsidRDefault="004038D2" w:rsidP="004038D2">
      <w:pPr>
        <w:pStyle w:val="bmdsTblFootnote"/>
      </w:pPr>
      <w:proofErr w:type="spellStart"/>
      <w:r>
        <w:rPr>
          <w:b/>
        </w:rPr>
        <w:t>Naaa</w:t>
      </w:r>
      <w:proofErr w:type="spellEnd"/>
      <w:r>
        <w:rPr>
          <w:b/>
        </w:rPr>
        <w:t>:</w:t>
      </w:r>
      <w:r>
        <w:rPr>
          <w:i/>
        </w:rPr>
        <w:t xml:space="preserve"> Human </w:t>
      </w:r>
      <w:proofErr w:type="spellStart"/>
      <w:r>
        <w:rPr>
          <w:i/>
        </w:rPr>
        <w:t>Uniprot</w:t>
      </w:r>
      <w:proofErr w:type="spellEnd"/>
      <w:r>
        <w:rPr>
          <w:i/>
        </w:rPr>
        <w:t xml:space="preserve"> function (Human NAAA):</w:t>
      </w:r>
      <w:r>
        <w:t xml:space="preserve"> Degrades bioactive fatty acid amides to their corresponding acids, with the following preference N-</w:t>
      </w:r>
      <w:proofErr w:type="spellStart"/>
      <w:r>
        <w:t>palmitoylethanolamine</w:t>
      </w:r>
      <w:proofErr w:type="spellEnd"/>
      <w:r>
        <w:t xml:space="preserve"> &gt; N-</w:t>
      </w:r>
      <w:proofErr w:type="spellStart"/>
      <w:r>
        <w:t>myristoylethanolamine</w:t>
      </w:r>
      <w:proofErr w:type="spellEnd"/>
      <w:r>
        <w:t xml:space="preserve"> &gt; N-</w:t>
      </w:r>
      <w:proofErr w:type="spellStart"/>
      <w:r>
        <w:t>lauroylethanolamine</w:t>
      </w:r>
      <w:proofErr w:type="spellEnd"/>
      <w:r>
        <w:t xml:space="preserve"> = N-</w:t>
      </w:r>
      <w:proofErr w:type="spellStart"/>
      <w:r>
        <w:t>stearoylethanolamine</w:t>
      </w:r>
      <w:proofErr w:type="spellEnd"/>
      <w:r>
        <w:t xml:space="preserve"> &gt; N-</w:t>
      </w:r>
      <w:proofErr w:type="spellStart"/>
      <w:r>
        <w:t>arachidonoylethanolamine</w:t>
      </w:r>
      <w:proofErr w:type="spellEnd"/>
      <w:r>
        <w:t xml:space="preserve"> &gt; N-</w:t>
      </w:r>
      <w:proofErr w:type="spellStart"/>
      <w:r>
        <w:t>oleoylethanolamine</w:t>
      </w:r>
      <w:proofErr w:type="spellEnd"/>
      <w:r>
        <w:t xml:space="preserve"> (</w:t>
      </w:r>
      <w:proofErr w:type="spellStart"/>
      <w:r>
        <w:t>PubMed15655246</w:t>
      </w:r>
      <w:proofErr w:type="spellEnd"/>
      <w:r>
        <w:t xml:space="preserve">, </w:t>
      </w:r>
      <w:proofErr w:type="spellStart"/>
      <w:r>
        <w:t>PubMed17980170</w:t>
      </w:r>
      <w:proofErr w:type="spellEnd"/>
      <w:r>
        <w:t xml:space="preserve">, </w:t>
      </w:r>
      <w:proofErr w:type="spellStart"/>
      <w:r>
        <w:t>PubMed18793752</w:t>
      </w:r>
      <w:proofErr w:type="spellEnd"/>
      <w:r>
        <w:t xml:space="preserve">, </w:t>
      </w:r>
      <w:proofErr w:type="spellStart"/>
      <w:r>
        <w:t>PubMed30301806</w:t>
      </w:r>
      <w:proofErr w:type="spellEnd"/>
      <w:r>
        <w:t xml:space="preserve">, </w:t>
      </w:r>
      <w:proofErr w:type="spellStart"/>
      <w:r>
        <w:t>PubMed22825852</w:t>
      </w:r>
      <w:proofErr w:type="spellEnd"/>
      <w:r>
        <w:t>). Also exhibits weak hydrolytic activity against the ceramides N-</w:t>
      </w:r>
      <w:proofErr w:type="spellStart"/>
      <w:r>
        <w:t>lauroylsphingosine</w:t>
      </w:r>
      <w:proofErr w:type="spellEnd"/>
      <w:r>
        <w:t xml:space="preserve"> and </w:t>
      </w:r>
      <w:r>
        <w:lastRenderedPageBreak/>
        <w:t>N-</w:t>
      </w:r>
      <w:proofErr w:type="spellStart"/>
      <w:r>
        <w:t>palmitoylsphingosine</w:t>
      </w:r>
      <w:proofErr w:type="spellEnd"/>
      <w:r>
        <w:t xml:space="preserve"> (</w:t>
      </w:r>
      <w:proofErr w:type="spellStart"/>
      <w:r>
        <w:t>PubMed15655246</w:t>
      </w:r>
      <w:proofErr w:type="spellEnd"/>
      <w:r>
        <w:t>). {</w:t>
      </w:r>
      <w:proofErr w:type="spellStart"/>
      <w:r>
        <w:t>ECO0000269|PubMed15655246</w:t>
      </w:r>
      <w:proofErr w:type="spellEnd"/>
      <w:r>
        <w:t xml:space="preserve">, </w:t>
      </w:r>
      <w:proofErr w:type="spellStart"/>
      <w:r>
        <w:t>ECO0000269|PubMed17980170</w:t>
      </w:r>
      <w:proofErr w:type="spellEnd"/>
      <w:r>
        <w:t xml:space="preserve">, </w:t>
      </w:r>
      <w:proofErr w:type="spellStart"/>
      <w:r>
        <w:t>ECO0000269|PubMed18793752</w:t>
      </w:r>
      <w:proofErr w:type="spellEnd"/>
      <w:r>
        <w:t xml:space="preserve">, </w:t>
      </w:r>
      <w:proofErr w:type="spellStart"/>
      <w:r>
        <w:t>ECO0000269|PubMed22825852</w:t>
      </w:r>
      <w:proofErr w:type="spellEnd"/>
      <w:r>
        <w:t xml:space="preserve">, </w:t>
      </w:r>
      <w:proofErr w:type="spellStart"/>
      <w:r>
        <w:t>ECO0000269|PubMed30301806</w:t>
      </w:r>
      <w:proofErr w:type="spellEnd"/>
      <w:r>
        <w:t>}.</w:t>
      </w:r>
    </w:p>
    <w:p w14:paraId="5118114E" w14:textId="77777777" w:rsidR="004038D2" w:rsidRDefault="004038D2" w:rsidP="004038D2">
      <w:pPr>
        <w:pStyle w:val="bmdsTblFootnote"/>
      </w:pPr>
      <w:proofErr w:type="spellStart"/>
      <w:r>
        <w:rPr>
          <w:b/>
        </w:rPr>
        <w:t>Il1b</w:t>
      </w:r>
      <w:proofErr w:type="spellEnd"/>
      <w:r>
        <w:rPr>
          <w:b/>
        </w:rPr>
        <w:t>:</w:t>
      </w:r>
      <w:r>
        <w:rPr>
          <w:i/>
        </w:rPr>
        <w:t xml:space="preserve"> Human </w:t>
      </w:r>
      <w:proofErr w:type="spellStart"/>
      <w:r>
        <w:rPr>
          <w:i/>
        </w:rPr>
        <w:t>Uniprot</w:t>
      </w:r>
      <w:proofErr w:type="spellEnd"/>
      <w:r>
        <w:rPr>
          <w:i/>
        </w:rPr>
        <w:t xml:space="preserve"> function (Human IL1B):</w:t>
      </w:r>
      <w:r>
        <w:t xml:space="preserve"> Potent proinflammatory cytokine. Initially discovered as the major endogenous pyrogen, induces prostaglandin synthesis, neutrophil influx and activation, T-cell activation and cytokine production, B-cell activation and antibody production, and fibroblast proliferation and collagen production. Promotes </w:t>
      </w:r>
      <w:proofErr w:type="spellStart"/>
      <w:r>
        <w:t>Th17</w:t>
      </w:r>
      <w:proofErr w:type="spellEnd"/>
      <w:r>
        <w:t xml:space="preserve"> differentiation of T-cells. Synergizes with IL12/interleukin-12 to induce IFNG synthesis from T-helper 1 (</w:t>
      </w:r>
      <w:proofErr w:type="spellStart"/>
      <w:r>
        <w:t>Th1</w:t>
      </w:r>
      <w:proofErr w:type="spellEnd"/>
      <w:r>
        <w:t>) cells (</w:t>
      </w:r>
      <w:proofErr w:type="spellStart"/>
      <w:r>
        <w:t>PubMed10653850</w:t>
      </w:r>
      <w:proofErr w:type="spellEnd"/>
      <w:r>
        <w:t>). Plays a role in angiogenesis by inducing VEGF production synergistically with TNF and IL6 (</w:t>
      </w:r>
      <w:proofErr w:type="spellStart"/>
      <w:r>
        <w:t>PubMed12794819</w:t>
      </w:r>
      <w:proofErr w:type="spellEnd"/>
      <w:r>
        <w:t>). {</w:t>
      </w:r>
      <w:proofErr w:type="spellStart"/>
      <w:r>
        <w:t>ECO0000269|PubMed10653850</w:t>
      </w:r>
      <w:proofErr w:type="spellEnd"/>
      <w:r>
        <w:t xml:space="preserve">, </w:t>
      </w:r>
      <w:proofErr w:type="spellStart"/>
      <w:r>
        <w:t>ECO0000269|PubMed12794819</w:t>
      </w:r>
      <w:proofErr w:type="spellEnd"/>
      <w:r>
        <w:t xml:space="preserve">, </w:t>
      </w:r>
      <w:proofErr w:type="spellStart"/>
      <w:r>
        <w:t>ECO0000269|PubMed3920526</w:t>
      </w:r>
      <w:proofErr w:type="spellEnd"/>
      <w:r>
        <w:t>}.</w:t>
      </w:r>
    </w:p>
    <w:p w14:paraId="235CB78D" w14:textId="77777777" w:rsidR="004038D2" w:rsidRDefault="004038D2" w:rsidP="004038D2">
      <w:pPr>
        <w:pStyle w:val="bmdsTblFootnote"/>
      </w:pPr>
      <w:proofErr w:type="spellStart"/>
      <w:r>
        <w:rPr>
          <w:b/>
        </w:rPr>
        <w:t>Cyp24a1</w:t>
      </w:r>
      <w:proofErr w:type="spellEnd"/>
      <w:r>
        <w:rPr>
          <w:b/>
        </w:rPr>
        <w:t>:</w:t>
      </w:r>
      <w:r>
        <w:rPr>
          <w:i/>
        </w:rPr>
        <w:t xml:space="preserve"> Human </w:t>
      </w:r>
      <w:proofErr w:type="spellStart"/>
      <w:r>
        <w:rPr>
          <w:i/>
        </w:rPr>
        <w:t>Uniprot</w:t>
      </w:r>
      <w:proofErr w:type="spellEnd"/>
      <w:r>
        <w:rPr>
          <w:i/>
        </w:rPr>
        <w:t xml:space="preserve"> function (Human CYP24A1):</w:t>
      </w:r>
      <w:r>
        <w:t xml:space="preserve"> A cytochrome </w:t>
      </w:r>
      <w:proofErr w:type="spellStart"/>
      <w:r>
        <w:t>P450</w:t>
      </w:r>
      <w:proofErr w:type="spellEnd"/>
      <w:r>
        <w:t xml:space="preserve"> monooxygenase with a key role in vitamin D catabolism and calcium homeostasis. Via </w:t>
      </w:r>
      <w:proofErr w:type="spellStart"/>
      <w:r>
        <w:t>C24</w:t>
      </w:r>
      <w:proofErr w:type="spellEnd"/>
      <w:r>
        <w:t xml:space="preserve">- and </w:t>
      </w:r>
      <w:proofErr w:type="spellStart"/>
      <w:r>
        <w:t>C23</w:t>
      </w:r>
      <w:proofErr w:type="spellEnd"/>
      <w:r>
        <w:t xml:space="preserve">-oxidation pathways, catalyzes the inactivation of both the vitamin D precursor </w:t>
      </w:r>
      <w:proofErr w:type="spellStart"/>
      <w:r>
        <w:t>calcidiol</w:t>
      </w:r>
      <w:proofErr w:type="spellEnd"/>
      <w:r>
        <w:t xml:space="preserve"> (25-hydroxyvitamin D(3)) and the active hormone calcitriol (1-</w:t>
      </w:r>
      <w:proofErr w:type="spellStart"/>
      <w:r>
        <w:t>alpha,25</w:t>
      </w:r>
      <w:proofErr w:type="spellEnd"/>
      <w:r>
        <w:t>-</w:t>
      </w:r>
      <w:proofErr w:type="spellStart"/>
      <w:r>
        <w:t>dihydroxyvitamin</w:t>
      </w:r>
      <w:proofErr w:type="spellEnd"/>
      <w:r>
        <w:t xml:space="preserve"> D(3)) (</w:t>
      </w:r>
      <w:proofErr w:type="spellStart"/>
      <w:r>
        <w:t>PubMed24893882</w:t>
      </w:r>
      <w:proofErr w:type="spellEnd"/>
      <w:r>
        <w:t xml:space="preserve">, </w:t>
      </w:r>
      <w:proofErr w:type="spellStart"/>
      <w:r>
        <w:t>PubMed15574355</w:t>
      </w:r>
      <w:proofErr w:type="spellEnd"/>
      <w:r>
        <w:t xml:space="preserve">, </w:t>
      </w:r>
      <w:proofErr w:type="spellStart"/>
      <w:r>
        <w:t>PubMed8679605</w:t>
      </w:r>
      <w:proofErr w:type="spellEnd"/>
      <w:r>
        <w:t xml:space="preserve">, </w:t>
      </w:r>
      <w:proofErr w:type="spellStart"/>
      <w:r>
        <w:t>PubMed11012668</w:t>
      </w:r>
      <w:proofErr w:type="spellEnd"/>
      <w:r>
        <w:t xml:space="preserve">, </w:t>
      </w:r>
      <w:proofErr w:type="spellStart"/>
      <w:r>
        <w:t>PubMed16617161</w:t>
      </w:r>
      <w:proofErr w:type="spellEnd"/>
      <w:r>
        <w:t xml:space="preserve">). With initial hydroxylation at C-24 (via </w:t>
      </w:r>
      <w:proofErr w:type="spellStart"/>
      <w:r>
        <w:t>C24</w:t>
      </w:r>
      <w:proofErr w:type="spellEnd"/>
      <w:r>
        <w:t>-oxidation pathway), performs a sequential 6-step oxidation of calcitriol leading to the formation of the biliary metabolite calcitroic acid (</w:t>
      </w:r>
      <w:proofErr w:type="spellStart"/>
      <w:r>
        <w:t>PubMed24893882</w:t>
      </w:r>
      <w:proofErr w:type="spellEnd"/>
      <w:r>
        <w:t xml:space="preserve">, </w:t>
      </w:r>
      <w:proofErr w:type="spellStart"/>
      <w:r>
        <w:t>PubMed15574355</w:t>
      </w:r>
      <w:proofErr w:type="spellEnd"/>
      <w:r>
        <w:t xml:space="preserve">). With initial hydroxylation at C-23 (via </w:t>
      </w:r>
      <w:proofErr w:type="spellStart"/>
      <w:r>
        <w:t>C23</w:t>
      </w:r>
      <w:proofErr w:type="spellEnd"/>
      <w:r>
        <w:t xml:space="preserve">-oxidation pathway), catalyzes sequential oxidation of </w:t>
      </w:r>
      <w:proofErr w:type="spellStart"/>
      <w:r>
        <w:t>calcidiol</w:t>
      </w:r>
      <w:proofErr w:type="spellEnd"/>
      <w:r>
        <w:t xml:space="preserve"> leading to the formation of 25(OH)</w:t>
      </w:r>
      <w:proofErr w:type="spellStart"/>
      <w:r>
        <w:t>D3</w:t>
      </w:r>
      <w:proofErr w:type="spellEnd"/>
      <w:r>
        <w:t xml:space="preserve">-26,23-lactone as </w:t>
      </w:r>
      <w:proofErr w:type="gramStart"/>
      <w:r>
        <w:t>end product</w:t>
      </w:r>
      <w:proofErr w:type="gramEnd"/>
      <w:r>
        <w:t xml:space="preserve"> (</w:t>
      </w:r>
      <w:proofErr w:type="spellStart"/>
      <w:r>
        <w:t>PubMed11012668</w:t>
      </w:r>
      <w:proofErr w:type="spellEnd"/>
      <w:r>
        <w:t xml:space="preserve">, </w:t>
      </w:r>
      <w:proofErr w:type="spellStart"/>
      <w:r>
        <w:t>PubMed8679605</w:t>
      </w:r>
      <w:proofErr w:type="spellEnd"/>
      <w:r>
        <w:t xml:space="preserve">). Preferentially hydroxylates at C-25 other vitamin D active metabolites, such as CYP11A1-derived </w:t>
      </w:r>
      <w:proofErr w:type="spellStart"/>
      <w:r>
        <w:t>secosteroids</w:t>
      </w:r>
      <w:proofErr w:type="spellEnd"/>
      <w:r>
        <w:t xml:space="preserve"> </w:t>
      </w:r>
      <w:proofErr w:type="spellStart"/>
      <w:r>
        <w:t>20S</w:t>
      </w:r>
      <w:proofErr w:type="spellEnd"/>
      <w:r>
        <w:t xml:space="preserve">-hydroxycholecalciferol and </w:t>
      </w:r>
      <w:proofErr w:type="spellStart"/>
      <w:r>
        <w:t>20S,23</w:t>
      </w:r>
      <w:proofErr w:type="spellEnd"/>
      <w:r>
        <w:t>-dihydroxycholecalciferol (</w:t>
      </w:r>
      <w:proofErr w:type="spellStart"/>
      <w:r>
        <w:t>PubMed25727742</w:t>
      </w:r>
      <w:proofErr w:type="spellEnd"/>
      <w:r>
        <w:t>). Mechanistically, uses molecular oxygen inserting one oxygen atom into a substrate, and reducing the second into a water molecule, with two electrons provided by NADPH via FDXR/</w:t>
      </w:r>
      <w:proofErr w:type="spellStart"/>
      <w:r>
        <w:t>adrenodoxin</w:t>
      </w:r>
      <w:proofErr w:type="spellEnd"/>
      <w:r>
        <w:t xml:space="preserve"> reductase and FDX1/</w:t>
      </w:r>
      <w:proofErr w:type="spellStart"/>
      <w:r>
        <w:t>adrenodoxin</w:t>
      </w:r>
      <w:proofErr w:type="spellEnd"/>
      <w:r>
        <w:t xml:space="preserve"> (</w:t>
      </w:r>
      <w:proofErr w:type="spellStart"/>
      <w:r>
        <w:t>PubMed8679605</w:t>
      </w:r>
      <w:proofErr w:type="spellEnd"/>
      <w:r>
        <w:t>). {</w:t>
      </w:r>
      <w:proofErr w:type="spellStart"/>
      <w:r>
        <w:t>ECO0000269|PubMed11012668</w:t>
      </w:r>
      <w:proofErr w:type="spellEnd"/>
      <w:r>
        <w:t xml:space="preserve">, </w:t>
      </w:r>
      <w:proofErr w:type="spellStart"/>
      <w:r>
        <w:t>ECO0000269|PubMed15574355</w:t>
      </w:r>
      <w:proofErr w:type="spellEnd"/>
      <w:r>
        <w:t xml:space="preserve">, </w:t>
      </w:r>
      <w:proofErr w:type="spellStart"/>
      <w:r>
        <w:t>ECO0000269|PubMed16617161</w:t>
      </w:r>
      <w:proofErr w:type="spellEnd"/>
      <w:r>
        <w:t xml:space="preserve">, </w:t>
      </w:r>
      <w:proofErr w:type="spellStart"/>
      <w:r>
        <w:t>ECO0000269|PubMed24893882</w:t>
      </w:r>
      <w:proofErr w:type="spellEnd"/>
      <w:r>
        <w:t xml:space="preserve">, </w:t>
      </w:r>
      <w:proofErr w:type="spellStart"/>
      <w:r>
        <w:t>ECO0000269|PubMed25727742</w:t>
      </w:r>
      <w:proofErr w:type="spellEnd"/>
      <w:r>
        <w:t xml:space="preserve">, </w:t>
      </w:r>
      <w:proofErr w:type="spellStart"/>
      <w:r>
        <w:t>ECO0000269|PubMed8679605</w:t>
      </w:r>
      <w:proofErr w:type="spellEnd"/>
      <w:r>
        <w:t>}.</w:t>
      </w:r>
    </w:p>
    <w:p w14:paraId="36FA6A60" w14:textId="77777777" w:rsidR="004038D2" w:rsidRDefault="004038D2" w:rsidP="004038D2">
      <w:pPr>
        <w:pStyle w:val="bmdsTblFootnote"/>
      </w:pPr>
      <w:proofErr w:type="spellStart"/>
      <w:r>
        <w:rPr>
          <w:b/>
        </w:rPr>
        <w:t>Top2a</w:t>
      </w:r>
      <w:proofErr w:type="spellEnd"/>
      <w:r>
        <w:rPr>
          <w:b/>
        </w:rPr>
        <w:t>:</w:t>
      </w:r>
      <w:r>
        <w:rPr>
          <w:i/>
        </w:rPr>
        <w:t xml:space="preserve"> Human </w:t>
      </w:r>
      <w:proofErr w:type="spellStart"/>
      <w:r>
        <w:rPr>
          <w:i/>
        </w:rPr>
        <w:t>Uniprot</w:t>
      </w:r>
      <w:proofErr w:type="spellEnd"/>
      <w:r>
        <w:rPr>
          <w:i/>
        </w:rPr>
        <w:t xml:space="preserve"> function (Human TOP2A):</w:t>
      </w:r>
      <w:r>
        <w:t xml:space="preserve"> Key decatenating enzyme that alters DNA topology by binding to two double-stranded DNA molecules, generating a double-stranded break in one of the strands, passing the intact strand through the broken strand, and </w:t>
      </w:r>
      <w:proofErr w:type="spellStart"/>
      <w:r>
        <w:t>religating</w:t>
      </w:r>
      <w:proofErr w:type="spellEnd"/>
      <w:r>
        <w:t xml:space="preserve"> the broken strand (</w:t>
      </w:r>
      <w:proofErr w:type="spellStart"/>
      <w:r>
        <w:t>PubMed17567603</w:t>
      </w:r>
      <w:proofErr w:type="spellEnd"/>
      <w:r>
        <w:t xml:space="preserve">, </w:t>
      </w:r>
      <w:proofErr w:type="spellStart"/>
      <w:r>
        <w:t>PubMed18790802</w:t>
      </w:r>
      <w:proofErr w:type="spellEnd"/>
      <w:r>
        <w:t xml:space="preserve">, </w:t>
      </w:r>
      <w:proofErr w:type="spellStart"/>
      <w:r>
        <w:t>PubMed22013166</w:t>
      </w:r>
      <w:proofErr w:type="spellEnd"/>
      <w:r>
        <w:t xml:space="preserve">, </w:t>
      </w:r>
      <w:proofErr w:type="spellStart"/>
      <w:r>
        <w:t>PubMed22323612</w:t>
      </w:r>
      <w:proofErr w:type="spellEnd"/>
      <w:r>
        <w:t>). May play a role in regulating the period length of ARNTL/BMAL1 transcriptional oscillation (By similarity). {</w:t>
      </w:r>
      <w:proofErr w:type="spellStart"/>
      <w:r>
        <w:t>ECO0000250|UniProtKBQ01320</w:t>
      </w:r>
      <w:proofErr w:type="spellEnd"/>
      <w:r>
        <w:t xml:space="preserve">, </w:t>
      </w:r>
      <w:proofErr w:type="spellStart"/>
      <w:r>
        <w:t>ECO0000269|PubMed17567603</w:t>
      </w:r>
      <w:proofErr w:type="spellEnd"/>
      <w:r>
        <w:t xml:space="preserve">, </w:t>
      </w:r>
      <w:proofErr w:type="spellStart"/>
      <w:r>
        <w:t>ECO0000269|PubMed18790802</w:t>
      </w:r>
      <w:proofErr w:type="spellEnd"/>
      <w:r>
        <w:t xml:space="preserve">, </w:t>
      </w:r>
      <w:proofErr w:type="spellStart"/>
      <w:r>
        <w:t>ECO0000269|PubMed22013166</w:t>
      </w:r>
      <w:proofErr w:type="spellEnd"/>
      <w:r>
        <w:t xml:space="preserve">, </w:t>
      </w:r>
      <w:proofErr w:type="spellStart"/>
      <w:r>
        <w:t>ECO0000269|PubMed22323612</w:t>
      </w:r>
      <w:proofErr w:type="spellEnd"/>
      <w:r>
        <w:t>}.</w:t>
      </w:r>
    </w:p>
    <w:p w14:paraId="3FCFA9A9" w14:textId="77777777" w:rsidR="004038D2" w:rsidRDefault="004038D2" w:rsidP="004038D2">
      <w:pPr>
        <w:pStyle w:val="bmdsTblFootnote"/>
      </w:pPr>
      <w:proofErr w:type="spellStart"/>
      <w:r>
        <w:rPr>
          <w:b/>
        </w:rPr>
        <w:t>Nsg1</w:t>
      </w:r>
      <w:proofErr w:type="spellEnd"/>
      <w:r>
        <w:rPr>
          <w:b/>
        </w:rPr>
        <w:t>:</w:t>
      </w:r>
      <w:r>
        <w:rPr>
          <w:i/>
        </w:rPr>
        <w:t xml:space="preserve"> Human </w:t>
      </w:r>
      <w:proofErr w:type="spellStart"/>
      <w:r>
        <w:rPr>
          <w:i/>
        </w:rPr>
        <w:t>Uniprot</w:t>
      </w:r>
      <w:proofErr w:type="spellEnd"/>
      <w:r>
        <w:rPr>
          <w:i/>
        </w:rPr>
        <w:t xml:space="preserve"> function (Human NSG1):</w:t>
      </w:r>
      <w:r>
        <w:t xml:space="preserve"> Plays a role in the recycling mechanism in neurons of multiple receptors, including AMPAR, APP and L1CAM and acts at the level of early endosomes to promote sorting of receptors toward a recycling pathway. Regulates sorting and recycling of GRIA2 through interaction with GRIP1 and then contributes to the regulation of synaptic transmission and plasticity by affecting the recycling and targeting of AMPA receptors to the synapse (By similarity). Is required for faithful sorting of L1CAM to axons by facilitating trafficking from </w:t>
      </w:r>
      <w:proofErr w:type="spellStart"/>
      <w:r>
        <w:t>somatodendritic</w:t>
      </w:r>
      <w:proofErr w:type="spellEnd"/>
      <w:r>
        <w:t xml:space="preserve"> early endosome or the recycling endosome (By similarity). In </w:t>
      </w:r>
      <w:proofErr w:type="gramStart"/>
      <w:r>
        <w:t>an other</w:t>
      </w:r>
      <w:proofErr w:type="gramEnd"/>
      <w:r>
        <w:t xml:space="preserve"> hand, induces apoptosis via the activation of CASP3 in response to DNA damage (</w:t>
      </w:r>
      <w:proofErr w:type="spellStart"/>
      <w:r>
        <w:t>PubMed20599942</w:t>
      </w:r>
      <w:proofErr w:type="spellEnd"/>
      <w:r>
        <w:t xml:space="preserve">, </w:t>
      </w:r>
      <w:proofErr w:type="spellStart"/>
      <w:r>
        <w:t>PubMed20878061</w:t>
      </w:r>
      <w:proofErr w:type="spellEnd"/>
      <w:r>
        <w:t>). {</w:t>
      </w:r>
      <w:proofErr w:type="spellStart"/>
      <w:r>
        <w:t>ECO0000250|UniProtKBP02683</w:t>
      </w:r>
      <w:proofErr w:type="spellEnd"/>
      <w:r>
        <w:t xml:space="preserve">, </w:t>
      </w:r>
      <w:proofErr w:type="spellStart"/>
      <w:r>
        <w:t>ECO0000250|UniProtKBQ62092</w:t>
      </w:r>
      <w:proofErr w:type="spellEnd"/>
      <w:r>
        <w:t xml:space="preserve">, </w:t>
      </w:r>
      <w:proofErr w:type="spellStart"/>
      <w:r>
        <w:t>ECO0000269|PubMed20599942</w:t>
      </w:r>
      <w:proofErr w:type="spellEnd"/>
      <w:r>
        <w:t xml:space="preserve">, </w:t>
      </w:r>
      <w:proofErr w:type="spellStart"/>
      <w:r>
        <w:t>ECO0000269|PubMed20878061</w:t>
      </w:r>
      <w:proofErr w:type="spellEnd"/>
      <w:r>
        <w:t>}.</w:t>
      </w:r>
    </w:p>
    <w:p w14:paraId="1CAC887F" w14:textId="77777777" w:rsidR="004038D2" w:rsidRDefault="004038D2" w:rsidP="004038D2"/>
    <w:p w14:paraId="21FD2A49" w14:textId="77777777" w:rsidR="004038D2" w:rsidRDefault="004038D2" w:rsidP="004038D2">
      <w:r>
        <w:br w:type="page"/>
      </w:r>
    </w:p>
    <w:p w14:paraId="084BE433" w14:textId="77777777" w:rsidR="004038D2" w:rsidRDefault="004038D2" w:rsidP="004038D2">
      <w:pPr>
        <w:pStyle w:val="Heading3"/>
      </w:pPr>
      <w:r>
        <w:lastRenderedPageBreak/>
        <w:t>Female Kidney Top 10 Genes Ranked by Potency of Perturbation (Sorted by BMD Median)</w:t>
      </w:r>
    </w:p>
    <w:tbl>
      <w:tblPr>
        <w:tblW w:w="0" w:type="auto"/>
        <w:tblLook w:val="04A0" w:firstRow="1" w:lastRow="0" w:firstColumn="1" w:lastColumn="0" w:noHBand="0" w:noVBand="1"/>
      </w:tblPr>
      <w:tblGrid>
        <w:gridCol w:w="1951"/>
        <w:gridCol w:w="1220"/>
        <w:gridCol w:w="1766"/>
        <w:gridCol w:w="1459"/>
        <w:gridCol w:w="1460"/>
        <w:gridCol w:w="1504"/>
      </w:tblGrid>
      <w:tr w:rsidR="004038D2" w14:paraId="42E63241" w14:textId="77777777" w:rsidTr="004038D2">
        <w:tc>
          <w:tcPr>
            <w:tcW w:w="1951" w:type="dxa"/>
            <w:tcBorders>
              <w:top w:val="single" w:sz="2" w:space="0" w:color="000000"/>
              <w:left w:val="nil"/>
              <w:bottom w:val="single" w:sz="2" w:space="0" w:color="000000"/>
              <w:right w:val="nil"/>
            </w:tcBorders>
            <w:vAlign w:val="center"/>
            <w:hideMark/>
          </w:tcPr>
          <w:p w14:paraId="627E3C69" w14:textId="77777777" w:rsidR="004038D2" w:rsidRDefault="004038D2">
            <w:pPr>
              <w:pStyle w:val="bmdsTblBody"/>
            </w:pPr>
            <w:r>
              <w:rPr>
                <w:b/>
              </w:rPr>
              <w:t>Gene Symbol</w:t>
            </w:r>
          </w:p>
        </w:tc>
        <w:tc>
          <w:tcPr>
            <w:tcW w:w="1220" w:type="dxa"/>
            <w:tcBorders>
              <w:top w:val="single" w:sz="2" w:space="0" w:color="000000"/>
              <w:left w:val="nil"/>
              <w:bottom w:val="single" w:sz="2" w:space="0" w:color="000000"/>
              <w:right w:val="nil"/>
            </w:tcBorders>
            <w:vAlign w:val="center"/>
            <w:hideMark/>
          </w:tcPr>
          <w:p w14:paraId="1FE077B7" w14:textId="77777777" w:rsidR="004038D2" w:rsidRDefault="004038D2">
            <w:pPr>
              <w:pStyle w:val="bmdsTblHeader"/>
              <w:jc w:val="center"/>
            </w:pPr>
            <w:r>
              <w:t>Entrez Gene IDs</w:t>
            </w:r>
          </w:p>
        </w:tc>
        <w:tc>
          <w:tcPr>
            <w:tcW w:w="1766" w:type="dxa"/>
            <w:tcBorders>
              <w:top w:val="single" w:sz="2" w:space="0" w:color="000000"/>
              <w:left w:val="nil"/>
              <w:bottom w:val="single" w:sz="2" w:space="0" w:color="000000"/>
              <w:right w:val="nil"/>
            </w:tcBorders>
            <w:vAlign w:val="center"/>
            <w:hideMark/>
          </w:tcPr>
          <w:p w14:paraId="015D6CB8" w14:textId="77777777" w:rsidR="004038D2" w:rsidRDefault="004038D2">
            <w:pPr>
              <w:pStyle w:val="bmdsTblHeader"/>
              <w:jc w:val="center"/>
            </w:pPr>
            <w:r>
              <w:t>Probe IDs</w:t>
            </w:r>
          </w:p>
        </w:tc>
        <w:tc>
          <w:tcPr>
            <w:tcW w:w="1459" w:type="dxa"/>
            <w:tcBorders>
              <w:top w:val="single" w:sz="2" w:space="0" w:color="000000"/>
              <w:left w:val="nil"/>
              <w:bottom w:val="single" w:sz="2" w:space="0" w:color="000000"/>
              <w:right w:val="nil"/>
            </w:tcBorders>
            <w:vAlign w:val="center"/>
            <w:hideMark/>
          </w:tcPr>
          <w:p w14:paraId="78207C06" w14:textId="77777777" w:rsidR="004038D2" w:rsidRDefault="004038D2">
            <w:pPr>
              <w:pStyle w:val="bmdsTblHeader"/>
              <w:jc w:val="center"/>
            </w:pPr>
            <w:proofErr w:type="spellStart"/>
            <w:r>
              <w:t>BMD</w:t>
            </w:r>
            <w:r>
              <w:rPr>
                <w:sz w:val="16"/>
                <w:vertAlign w:val="subscript"/>
              </w:rPr>
              <w:t>1Std</w:t>
            </w:r>
            <w:proofErr w:type="spellEnd"/>
            <w:r>
              <w:t xml:space="preserve"> (</w:t>
            </w:r>
            <w:proofErr w:type="spellStart"/>
            <w:r>
              <w:t>BMD</w:t>
            </w:r>
            <w:r>
              <w:rPr>
                <w:vertAlign w:val="subscript"/>
              </w:rPr>
              <w:t>L</w:t>
            </w:r>
            <w:r>
              <w:rPr>
                <w:sz w:val="16"/>
                <w:vertAlign w:val="subscript"/>
              </w:rPr>
              <w:t>1std</w:t>
            </w:r>
            <w:r>
              <w:t>-BMD</w:t>
            </w:r>
            <w:r>
              <w:rPr>
                <w:vertAlign w:val="subscript"/>
              </w:rPr>
              <w:t>U1std</w:t>
            </w:r>
            <w:proofErr w:type="spellEnd"/>
            <w:r>
              <w:t>) in mg/kg</w:t>
            </w:r>
          </w:p>
        </w:tc>
        <w:tc>
          <w:tcPr>
            <w:tcW w:w="1460" w:type="dxa"/>
            <w:tcBorders>
              <w:top w:val="single" w:sz="2" w:space="0" w:color="000000"/>
              <w:left w:val="nil"/>
              <w:bottom w:val="single" w:sz="2" w:space="0" w:color="000000"/>
              <w:right w:val="nil"/>
            </w:tcBorders>
            <w:vAlign w:val="center"/>
            <w:hideMark/>
          </w:tcPr>
          <w:p w14:paraId="1142E054" w14:textId="77777777" w:rsidR="004038D2" w:rsidRDefault="004038D2">
            <w:pPr>
              <w:pStyle w:val="bmdsTblHeader"/>
              <w:jc w:val="center"/>
            </w:pPr>
            <w:r>
              <w:t>Maximum Fold Change</w:t>
            </w:r>
          </w:p>
        </w:tc>
        <w:tc>
          <w:tcPr>
            <w:tcW w:w="1504" w:type="dxa"/>
            <w:tcBorders>
              <w:top w:val="single" w:sz="2" w:space="0" w:color="000000"/>
              <w:left w:val="nil"/>
              <w:bottom w:val="single" w:sz="2" w:space="0" w:color="000000"/>
              <w:right w:val="nil"/>
            </w:tcBorders>
            <w:vAlign w:val="center"/>
            <w:hideMark/>
          </w:tcPr>
          <w:p w14:paraId="4DA4B5FB" w14:textId="77777777" w:rsidR="004038D2" w:rsidRDefault="004038D2">
            <w:pPr>
              <w:pStyle w:val="bmdsTblHeader"/>
              <w:jc w:val="center"/>
            </w:pPr>
            <w:r>
              <w:t>Direction of Expression Change</w:t>
            </w:r>
          </w:p>
        </w:tc>
      </w:tr>
      <w:tr w:rsidR="004038D2" w14:paraId="23F55079" w14:textId="77777777" w:rsidTr="004038D2">
        <w:tc>
          <w:tcPr>
            <w:tcW w:w="1951" w:type="dxa"/>
            <w:vAlign w:val="center"/>
            <w:hideMark/>
          </w:tcPr>
          <w:p w14:paraId="1422B9D0" w14:textId="77777777" w:rsidR="004038D2" w:rsidRDefault="004038D2">
            <w:pPr>
              <w:pStyle w:val="bmdsTblBody"/>
            </w:pPr>
            <w:proofErr w:type="spellStart"/>
            <w:r>
              <w:rPr>
                <w:b/>
              </w:rPr>
              <w:t>mrc1</w:t>
            </w:r>
            <w:proofErr w:type="spellEnd"/>
          </w:p>
        </w:tc>
        <w:tc>
          <w:tcPr>
            <w:tcW w:w="1220" w:type="dxa"/>
            <w:vAlign w:val="center"/>
            <w:hideMark/>
          </w:tcPr>
          <w:p w14:paraId="133F1E02" w14:textId="77777777" w:rsidR="004038D2" w:rsidRDefault="004038D2">
            <w:pPr>
              <w:pStyle w:val="bmdsTblBody"/>
              <w:jc w:val="center"/>
            </w:pPr>
            <w:r>
              <w:rPr>
                <w:sz w:val="16"/>
              </w:rPr>
              <w:t>291327</w:t>
            </w:r>
          </w:p>
        </w:tc>
        <w:tc>
          <w:tcPr>
            <w:tcW w:w="1766" w:type="dxa"/>
            <w:vAlign w:val="center"/>
            <w:hideMark/>
          </w:tcPr>
          <w:p w14:paraId="776EE41A" w14:textId="77777777" w:rsidR="004038D2" w:rsidRDefault="004038D2">
            <w:pPr>
              <w:pStyle w:val="bmdsTblBody"/>
              <w:jc w:val="center"/>
            </w:pPr>
            <w:r>
              <w:rPr>
                <w:sz w:val="16"/>
              </w:rPr>
              <w:t>MRC1_33067</w:t>
            </w:r>
          </w:p>
        </w:tc>
        <w:tc>
          <w:tcPr>
            <w:tcW w:w="1459" w:type="dxa"/>
            <w:vAlign w:val="center"/>
            <w:hideMark/>
          </w:tcPr>
          <w:p w14:paraId="7431AE2E" w14:textId="77777777" w:rsidR="004038D2" w:rsidRDefault="004038D2">
            <w:pPr>
              <w:pStyle w:val="bmdsTblBody"/>
              <w:jc w:val="center"/>
            </w:pPr>
            <w:r>
              <w:rPr>
                <w:sz w:val="16"/>
              </w:rPr>
              <w:t>&lt;0.023 (NR)</w:t>
            </w:r>
          </w:p>
        </w:tc>
        <w:tc>
          <w:tcPr>
            <w:tcW w:w="1460" w:type="dxa"/>
            <w:vAlign w:val="center"/>
            <w:hideMark/>
          </w:tcPr>
          <w:p w14:paraId="30F41AEA" w14:textId="77777777" w:rsidR="004038D2" w:rsidRDefault="004038D2">
            <w:pPr>
              <w:pStyle w:val="bmdsTblBody"/>
              <w:jc w:val="center"/>
            </w:pPr>
            <w:r>
              <w:rPr>
                <w:sz w:val="16"/>
              </w:rPr>
              <w:t>2.1</w:t>
            </w:r>
          </w:p>
        </w:tc>
        <w:tc>
          <w:tcPr>
            <w:tcW w:w="1504" w:type="dxa"/>
            <w:vAlign w:val="center"/>
            <w:hideMark/>
          </w:tcPr>
          <w:p w14:paraId="1FB954C2" w14:textId="77777777" w:rsidR="004038D2" w:rsidRDefault="004038D2">
            <w:pPr>
              <w:pStyle w:val="bmdsTblBody"/>
              <w:jc w:val="center"/>
            </w:pPr>
            <w:r>
              <w:rPr>
                <w:sz w:val="16"/>
              </w:rPr>
              <w:t>DOWN</w:t>
            </w:r>
          </w:p>
        </w:tc>
      </w:tr>
      <w:tr w:rsidR="004038D2" w14:paraId="0F354EBC" w14:textId="77777777" w:rsidTr="004038D2">
        <w:tc>
          <w:tcPr>
            <w:tcW w:w="1951" w:type="dxa"/>
            <w:vAlign w:val="center"/>
            <w:hideMark/>
          </w:tcPr>
          <w:p w14:paraId="151CFC10" w14:textId="77777777" w:rsidR="004038D2" w:rsidRDefault="004038D2">
            <w:pPr>
              <w:pStyle w:val="bmdsTblBody"/>
            </w:pPr>
            <w:proofErr w:type="spellStart"/>
            <w:r>
              <w:rPr>
                <w:b/>
              </w:rPr>
              <w:t>ckap2</w:t>
            </w:r>
            <w:proofErr w:type="spellEnd"/>
          </w:p>
        </w:tc>
        <w:tc>
          <w:tcPr>
            <w:tcW w:w="1220" w:type="dxa"/>
            <w:vAlign w:val="center"/>
            <w:hideMark/>
          </w:tcPr>
          <w:p w14:paraId="13FEBDF1" w14:textId="77777777" w:rsidR="004038D2" w:rsidRDefault="004038D2">
            <w:pPr>
              <w:pStyle w:val="bmdsTblBody"/>
              <w:jc w:val="center"/>
            </w:pPr>
            <w:r>
              <w:rPr>
                <w:sz w:val="16"/>
              </w:rPr>
              <w:t>306575</w:t>
            </w:r>
          </w:p>
        </w:tc>
        <w:tc>
          <w:tcPr>
            <w:tcW w:w="1766" w:type="dxa"/>
            <w:vAlign w:val="center"/>
            <w:hideMark/>
          </w:tcPr>
          <w:p w14:paraId="2EC98F02" w14:textId="77777777" w:rsidR="004038D2" w:rsidRDefault="004038D2">
            <w:pPr>
              <w:pStyle w:val="bmdsTblBody"/>
              <w:jc w:val="center"/>
            </w:pPr>
            <w:r>
              <w:rPr>
                <w:sz w:val="16"/>
              </w:rPr>
              <w:t>CKAP2_8324</w:t>
            </w:r>
          </w:p>
        </w:tc>
        <w:tc>
          <w:tcPr>
            <w:tcW w:w="1459" w:type="dxa"/>
            <w:vAlign w:val="center"/>
            <w:hideMark/>
          </w:tcPr>
          <w:p w14:paraId="05800C02" w14:textId="77777777" w:rsidR="004038D2" w:rsidRDefault="004038D2">
            <w:pPr>
              <w:pStyle w:val="bmdsTblBody"/>
              <w:jc w:val="center"/>
            </w:pPr>
            <w:r>
              <w:rPr>
                <w:sz w:val="16"/>
              </w:rPr>
              <w:t>2.608 (0.997-6.811)</w:t>
            </w:r>
          </w:p>
        </w:tc>
        <w:tc>
          <w:tcPr>
            <w:tcW w:w="1460" w:type="dxa"/>
            <w:vAlign w:val="center"/>
            <w:hideMark/>
          </w:tcPr>
          <w:p w14:paraId="1C5958C2" w14:textId="77777777" w:rsidR="004038D2" w:rsidRDefault="004038D2">
            <w:pPr>
              <w:pStyle w:val="bmdsTblBody"/>
              <w:jc w:val="center"/>
            </w:pPr>
            <w:r>
              <w:rPr>
                <w:sz w:val="16"/>
              </w:rPr>
              <w:t>2.3</w:t>
            </w:r>
          </w:p>
        </w:tc>
        <w:tc>
          <w:tcPr>
            <w:tcW w:w="1504" w:type="dxa"/>
            <w:vAlign w:val="center"/>
            <w:hideMark/>
          </w:tcPr>
          <w:p w14:paraId="2AAECE83" w14:textId="77777777" w:rsidR="004038D2" w:rsidRDefault="004038D2">
            <w:pPr>
              <w:pStyle w:val="bmdsTblBody"/>
              <w:jc w:val="center"/>
            </w:pPr>
            <w:r>
              <w:rPr>
                <w:sz w:val="16"/>
              </w:rPr>
              <w:t>UP</w:t>
            </w:r>
          </w:p>
        </w:tc>
      </w:tr>
      <w:tr w:rsidR="004038D2" w14:paraId="543C7C32" w14:textId="77777777" w:rsidTr="004038D2">
        <w:tc>
          <w:tcPr>
            <w:tcW w:w="1951" w:type="dxa"/>
            <w:vAlign w:val="center"/>
            <w:hideMark/>
          </w:tcPr>
          <w:p w14:paraId="0B1A3F4B" w14:textId="77777777" w:rsidR="004038D2" w:rsidRDefault="004038D2">
            <w:pPr>
              <w:pStyle w:val="bmdsTblBody"/>
            </w:pPr>
            <w:proofErr w:type="spellStart"/>
            <w:r>
              <w:rPr>
                <w:b/>
              </w:rPr>
              <w:t>ugt2b37</w:t>
            </w:r>
            <w:proofErr w:type="spellEnd"/>
          </w:p>
        </w:tc>
        <w:tc>
          <w:tcPr>
            <w:tcW w:w="1220" w:type="dxa"/>
            <w:vAlign w:val="center"/>
            <w:hideMark/>
          </w:tcPr>
          <w:p w14:paraId="08FACE2E" w14:textId="77777777" w:rsidR="004038D2" w:rsidRDefault="004038D2">
            <w:pPr>
              <w:pStyle w:val="bmdsTblBody"/>
              <w:jc w:val="center"/>
            </w:pPr>
            <w:r>
              <w:rPr>
                <w:sz w:val="16"/>
              </w:rPr>
              <w:t>29623</w:t>
            </w:r>
          </w:p>
        </w:tc>
        <w:tc>
          <w:tcPr>
            <w:tcW w:w="1766" w:type="dxa"/>
            <w:vAlign w:val="center"/>
            <w:hideMark/>
          </w:tcPr>
          <w:p w14:paraId="18C47B74" w14:textId="77777777" w:rsidR="004038D2" w:rsidRDefault="004038D2">
            <w:pPr>
              <w:pStyle w:val="bmdsTblBody"/>
              <w:jc w:val="center"/>
            </w:pPr>
            <w:r>
              <w:rPr>
                <w:sz w:val="16"/>
              </w:rPr>
              <w:t>UGT2B15_33121</w:t>
            </w:r>
          </w:p>
        </w:tc>
        <w:tc>
          <w:tcPr>
            <w:tcW w:w="1459" w:type="dxa"/>
            <w:vAlign w:val="center"/>
            <w:hideMark/>
          </w:tcPr>
          <w:p w14:paraId="44C0C238" w14:textId="77777777" w:rsidR="004038D2" w:rsidRDefault="004038D2">
            <w:pPr>
              <w:pStyle w:val="bmdsTblBody"/>
              <w:jc w:val="center"/>
            </w:pPr>
            <w:r>
              <w:rPr>
                <w:sz w:val="16"/>
              </w:rPr>
              <w:t>32.501 (7.520-103.327)</w:t>
            </w:r>
          </w:p>
        </w:tc>
        <w:tc>
          <w:tcPr>
            <w:tcW w:w="1460" w:type="dxa"/>
            <w:vAlign w:val="center"/>
            <w:hideMark/>
          </w:tcPr>
          <w:p w14:paraId="31E7B736" w14:textId="77777777" w:rsidR="004038D2" w:rsidRDefault="004038D2">
            <w:pPr>
              <w:pStyle w:val="bmdsTblBody"/>
              <w:jc w:val="center"/>
            </w:pPr>
            <w:r>
              <w:rPr>
                <w:sz w:val="16"/>
              </w:rPr>
              <w:t>3.3</w:t>
            </w:r>
          </w:p>
        </w:tc>
        <w:tc>
          <w:tcPr>
            <w:tcW w:w="1504" w:type="dxa"/>
            <w:vAlign w:val="center"/>
            <w:hideMark/>
          </w:tcPr>
          <w:p w14:paraId="216C566E" w14:textId="77777777" w:rsidR="004038D2" w:rsidRDefault="004038D2">
            <w:pPr>
              <w:pStyle w:val="bmdsTblBody"/>
              <w:jc w:val="center"/>
            </w:pPr>
            <w:r>
              <w:rPr>
                <w:sz w:val="16"/>
              </w:rPr>
              <w:t>UP</w:t>
            </w:r>
          </w:p>
        </w:tc>
      </w:tr>
      <w:tr w:rsidR="004038D2" w14:paraId="53BAC972" w14:textId="77777777" w:rsidTr="004038D2">
        <w:tc>
          <w:tcPr>
            <w:tcW w:w="1951" w:type="dxa"/>
            <w:vAlign w:val="center"/>
            <w:hideMark/>
          </w:tcPr>
          <w:p w14:paraId="2F7579E2" w14:textId="77777777" w:rsidR="004038D2" w:rsidRDefault="004038D2">
            <w:pPr>
              <w:pStyle w:val="bmdsTblBody"/>
            </w:pPr>
            <w:proofErr w:type="spellStart"/>
            <w:r>
              <w:rPr>
                <w:b/>
              </w:rPr>
              <w:t>slc51a</w:t>
            </w:r>
            <w:proofErr w:type="spellEnd"/>
          </w:p>
        </w:tc>
        <w:tc>
          <w:tcPr>
            <w:tcW w:w="1220" w:type="dxa"/>
            <w:vAlign w:val="center"/>
            <w:hideMark/>
          </w:tcPr>
          <w:p w14:paraId="48D1A646" w14:textId="77777777" w:rsidR="004038D2" w:rsidRDefault="004038D2">
            <w:pPr>
              <w:pStyle w:val="bmdsTblBody"/>
              <w:jc w:val="center"/>
            </w:pPr>
            <w:r>
              <w:rPr>
                <w:sz w:val="16"/>
              </w:rPr>
              <w:t>303879</w:t>
            </w:r>
          </w:p>
        </w:tc>
        <w:tc>
          <w:tcPr>
            <w:tcW w:w="1766" w:type="dxa"/>
            <w:vAlign w:val="center"/>
            <w:hideMark/>
          </w:tcPr>
          <w:p w14:paraId="2DE496BC" w14:textId="77777777" w:rsidR="004038D2" w:rsidRDefault="004038D2">
            <w:pPr>
              <w:pStyle w:val="bmdsTblBody"/>
              <w:jc w:val="center"/>
            </w:pPr>
            <w:r>
              <w:rPr>
                <w:sz w:val="16"/>
              </w:rPr>
              <w:t>SLC51A_33157</w:t>
            </w:r>
          </w:p>
        </w:tc>
        <w:tc>
          <w:tcPr>
            <w:tcW w:w="1459" w:type="dxa"/>
            <w:vAlign w:val="center"/>
            <w:hideMark/>
          </w:tcPr>
          <w:p w14:paraId="357772D4" w14:textId="77777777" w:rsidR="004038D2" w:rsidRDefault="004038D2">
            <w:pPr>
              <w:pStyle w:val="bmdsTblBody"/>
              <w:jc w:val="center"/>
            </w:pPr>
            <w:r>
              <w:rPr>
                <w:sz w:val="16"/>
              </w:rPr>
              <w:t>37.134 (11.007-108.745)</w:t>
            </w:r>
          </w:p>
        </w:tc>
        <w:tc>
          <w:tcPr>
            <w:tcW w:w="1460" w:type="dxa"/>
            <w:vAlign w:val="center"/>
            <w:hideMark/>
          </w:tcPr>
          <w:p w14:paraId="427D0243" w14:textId="77777777" w:rsidR="004038D2" w:rsidRDefault="004038D2">
            <w:pPr>
              <w:pStyle w:val="bmdsTblBody"/>
              <w:jc w:val="center"/>
            </w:pPr>
            <w:r>
              <w:rPr>
                <w:sz w:val="16"/>
              </w:rPr>
              <w:t>2.2</w:t>
            </w:r>
          </w:p>
        </w:tc>
        <w:tc>
          <w:tcPr>
            <w:tcW w:w="1504" w:type="dxa"/>
            <w:vAlign w:val="center"/>
            <w:hideMark/>
          </w:tcPr>
          <w:p w14:paraId="50CC969C" w14:textId="77777777" w:rsidR="004038D2" w:rsidRDefault="004038D2">
            <w:pPr>
              <w:pStyle w:val="bmdsTblBody"/>
              <w:jc w:val="center"/>
            </w:pPr>
            <w:r>
              <w:rPr>
                <w:sz w:val="16"/>
              </w:rPr>
              <w:t>UP</w:t>
            </w:r>
          </w:p>
        </w:tc>
      </w:tr>
      <w:tr w:rsidR="004038D2" w14:paraId="1C2A82D4" w14:textId="77777777" w:rsidTr="004038D2">
        <w:tc>
          <w:tcPr>
            <w:tcW w:w="1951" w:type="dxa"/>
            <w:vAlign w:val="center"/>
            <w:hideMark/>
          </w:tcPr>
          <w:p w14:paraId="3FCEEE09" w14:textId="77777777" w:rsidR="004038D2" w:rsidRDefault="004038D2">
            <w:pPr>
              <w:pStyle w:val="bmdsTblBody"/>
            </w:pPr>
            <w:proofErr w:type="spellStart"/>
            <w:r>
              <w:rPr>
                <w:b/>
              </w:rPr>
              <w:t>ugt2b7</w:t>
            </w:r>
            <w:proofErr w:type="spellEnd"/>
          </w:p>
        </w:tc>
        <w:tc>
          <w:tcPr>
            <w:tcW w:w="1220" w:type="dxa"/>
            <w:vAlign w:val="center"/>
            <w:hideMark/>
          </w:tcPr>
          <w:p w14:paraId="008E9E06" w14:textId="77777777" w:rsidR="004038D2" w:rsidRDefault="004038D2">
            <w:pPr>
              <w:pStyle w:val="bmdsTblBody"/>
              <w:jc w:val="center"/>
            </w:pPr>
            <w:r>
              <w:rPr>
                <w:sz w:val="16"/>
              </w:rPr>
              <w:t>286989</w:t>
            </w:r>
          </w:p>
        </w:tc>
        <w:tc>
          <w:tcPr>
            <w:tcW w:w="1766" w:type="dxa"/>
            <w:vAlign w:val="center"/>
            <w:hideMark/>
          </w:tcPr>
          <w:p w14:paraId="7A50FBFB" w14:textId="77777777" w:rsidR="004038D2" w:rsidRDefault="004038D2">
            <w:pPr>
              <w:pStyle w:val="bmdsTblBody"/>
              <w:jc w:val="center"/>
            </w:pPr>
            <w:r>
              <w:rPr>
                <w:sz w:val="16"/>
              </w:rPr>
              <w:t>UGT2B7_33032</w:t>
            </w:r>
          </w:p>
        </w:tc>
        <w:tc>
          <w:tcPr>
            <w:tcW w:w="1459" w:type="dxa"/>
            <w:vAlign w:val="center"/>
            <w:hideMark/>
          </w:tcPr>
          <w:p w14:paraId="0FDFC80B" w14:textId="77777777" w:rsidR="004038D2" w:rsidRDefault="004038D2">
            <w:pPr>
              <w:pStyle w:val="bmdsTblBody"/>
              <w:jc w:val="center"/>
            </w:pPr>
            <w:r>
              <w:rPr>
                <w:sz w:val="16"/>
              </w:rPr>
              <w:t>54.314 (15.595-186.641)</w:t>
            </w:r>
          </w:p>
        </w:tc>
        <w:tc>
          <w:tcPr>
            <w:tcW w:w="1460" w:type="dxa"/>
            <w:vAlign w:val="center"/>
            <w:hideMark/>
          </w:tcPr>
          <w:p w14:paraId="170A16C1" w14:textId="77777777" w:rsidR="004038D2" w:rsidRDefault="004038D2">
            <w:pPr>
              <w:pStyle w:val="bmdsTblBody"/>
              <w:jc w:val="center"/>
            </w:pPr>
            <w:r>
              <w:rPr>
                <w:sz w:val="16"/>
              </w:rPr>
              <w:t>4.8</w:t>
            </w:r>
          </w:p>
        </w:tc>
        <w:tc>
          <w:tcPr>
            <w:tcW w:w="1504" w:type="dxa"/>
            <w:vAlign w:val="center"/>
            <w:hideMark/>
          </w:tcPr>
          <w:p w14:paraId="7917ABE6" w14:textId="77777777" w:rsidR="004038D2" w:rsidRDefault="004038D2">
            <w:pPr>
              <w:pStyle w:val="bmdsTblBody"/>
              <w:jc w:val="center"/>
            </w:pPr>
            <w:r>
              <w:rPr>
                <w:sz w:val="16"/>
              </w:rPr>
              <w:t>UP</w:t>
            </w:r>
          </w:p>
        </w:tc>
      </w:tr>
      <w:tr w:rsidR="004038D2" w14:paraId="3DBF7BEE" w14:textId="77777777" w:rsidTr="004038D2">
        <w:tc>
          <w:tcPr>
            <w:tcW w:w="1951" w:type="dxa"/>
            <w:vAlign w:val="center"/>
            <w:hideMark/>
          </w:tcPr>
          <w:p w14:paraId="25E9C4A0" w14:textId="77777777" w:rsidR="004038D2" w:rsidRDefault="004038D2">
            <w:pPr>
              <w:pStyle w:val="bmdsTblBody"/>
            </w:pPr>
            <w:proofErr w:type="spellStart"/>
            <w:r>
              <w:rPr>
                <w:b/>
              </w:rPr>
              <w:t>bbox1</w:t>
            </w:r>
            <w:proofErr w:type="spellEnd"/>
          </w:p>
        </w:tc>
        <w:tc>
          <w:tcPr>
            <w:tcW w:w="1220" w:type="dxa"/>
            <w:vAlign w:val="center"/>
            <w:hideMark/>
          </w:tcPr>
          <w:p w14:paraId="1428FE27" w14:textId="77777777" w:rsidR="004038D2" w:rsidRDefault="004038D2">
            <w:pPr>
              <w:pStyle w:val="bmdsTblBody"/>
              <w:jc w:val="center"/>
            </w:pPr>
            <w:r>
              <w:rPr>
                <w:sz w:val="16"/>
              </w:rPr>
              <w:t>64564</w:t>
            </w:r>
          </w:p>
        </w:tc>
        <w:tc>
          <w:tcPr>
            <w:tcW w:w="1766" w:type="dxa"/>
            <w:vAlign w:val="center"/>
            <w:hideMark/>
          </w:tcPr>
          <w:p w14:paraId="03AAD159" w14:textId="77777777" w:rsidR="004038D2" w:rsidRDefault="004038D2">
            <w:pPr>
              <w:pStyle w:val="bmdsTblBody"/>
              <w:jc w:val="center"/>
            </w:pPr>
            <w:r>
              <w:rPr>
                <w:sz w:val="16"/>
              </w:rPr>
              <w:t>BBOX1_8133</w:t>
            </w:r>
          </w:p>
        </w:tc>
        <w:tc>
          <w:tcPr>
            <w:tcW w:w="1459" w:type="dxa"/>
            <w:vAlign w:val="center"/>
            <w:hideMark/>
          </w:tcPr>
          <w:p w14:paraId="4B2DF921" w14:textId="77777777" w:rsidR="004038D2" w:rsidRDefault="004038D2">
            <w:pPr>
              <w:pStyle w:val="bmdsTblBody"/>
              <w:jc w:val="center"/>
            </w:pPr>
            <w:r>
              <w:rPr>
                <w:sz w:val="16"/>
              </w:rPr>
              <w:t>61.319 (39.473-135.622)</w:t>
            </w:r>
          </w:p>
        </w:tc>
        <w:tc>
          <w:tcPr>
            <w:tcW w:w="1460" w:type="dxa"/>
            <w:vAlign w:val="center"/>
            <w:hideMark/>
          </w:tcPr>
          <w:p w14:paraId="3DBB50DD" w14:textId="77777777" w:rsidR="004038D2" w:rsidRDefault="004038D2">
            <w:pPr>
              <w:pStyle w:val="bmdsTblBody"/>
              <w:jc w:val="center"/>
            </w:pPr>
            <w:r>
              <w:rPr>
                <w:sz w:val="16"/>
              </w:rPr>
              <w:t>2.0</w:t>
            </w:r>
          </w:p>
        </w:tc>
        <w:tc>
          <w:tcPr>
            <w:tcW w:w="1504" w:type="dxa"/>
            <w:vAlign w:val="center"/>
            <w:hideMark/>
          </w:tcPr>
          <w:p w14:paraId="5619FB03" w14:textId="77777777" w:rsidR="004038D2" w:rsidRDefault="004038D2">
            <w:pPr>
              <w:pStyle w:val="bmdsTblBody"/>
              <w:jc w:val="center"/>
            </w:pPr>
            <w:r>
              <w:rPr>
                <w:sz w:val="16"/>
              </w:rPr>
              <w:t>UP</w:t>
            </w:r>
          </w:p>
        </w:tc>
      </w:tr>
      <w:tr w:rsidR="004038D2" w14:paraId="1D84A14D" w14:textId="77777777" w:rsidTr="004038D2">
        <w:tc>
          <w:tcPr>
            <w:tcW w:w="1951" w:type="dxa"/>
            <w:vAlign w:val="center"/>
            <w:hideMark/>
          </w:tcPr>
          <w:p w14:paraId="76022B21" w14:textId="77777777" w:rsidR="004038D2" w:rsidRDefault="004038D2">
            <w:pPr>
              <w:pStyle w:val="bmdsTblBody"/>
            </w:pPr>
            <w:proofErr w:type="spellStart"/>
            <w:r>
              <w:rPr>
                <w:b/>
              </w:rPr>
              <w:t>adgre1</w:t>
            </w:r>
            <w:proofErr w:type="spellEnd"/>
          </w:p>
        </w:tc>
        <w:tc>
          <w:tcPr>
            <w:tcW w:w="1220" w:type="dxa"/>
            <w:vAlign w:val="center"/>
            <w:hideMark/>
          </w:tcPr>
          <w:p w14:paraId="4C3D90BE" w14:textId="77777777" w:rsidR="004038D2" w:rsidRDefault="004038D2">
            <w:pPr>
              <w:pStyle w:val="bmdsTblBody"/>
              <w:jc w:val="center"/>
            </w:pPr>
            <w:r>
              <w:rPr>
                <w:sz w:val="16"/>
              </w:rPr>
              <w:t>316137</w:t>
            </w:r>
          </w:p>
        </w:tc>
        <w:tc>
          <w:tcPr>
            <w:tcW w:w="1766" w:type="dxa"/>
            <w:vAlign w:val="center"/>
            <w:hideMark/>
          </w:tcPr>
          <w:p w14:paraId="70E69752" w14:textId="77777777" w:rsidR="004038D2" w:rsidRDefault="004038D2">
            <w:pPr>
              <w:pStyle w:val="bmdsTblBody"/>
              <w:jc w:val="center"/>
            </w:pPr>
            <w:r>
              <w:rPr>
                <w:sz w:val="16"/>
              </w:rPr>
              <w:t>EMR1_8558</w:t>
            </w:r>
          </w:p>
        </w:tc>
        <w:tc>
          <w:tcPr>
            <w:tcW w:w="1459" w:type="dxa"/>
            <w:vAlign w:val="center"/>
            <w:hideMark/>
          </w:tcPr>
          <w:p w14:paraId="59481DDF" w14:textId="77777777" w:rsidR="004038D2" w:rsidRDefault="004038D2">
            <w:pPr>
              <w:pStyle w:val="bmdsTblBody"/>
              <w:jc w:val="center"/>
            </w:pPr>
            <w:r>
              <w:rPr>
                <w:sz w:val="16"/>
              </w:rPr>
              <w:t>61.524 (39.671-132.174)</w:t>
            </w:r>
          </w:p>
        </w:tc>
        <w:tc>
          <w:tcPr>
            <w:tcW w:w="1460" w:type="dxa"/>
            <w:vAlign w:val="center"/>
            <w:hideMark/>
          </w:tcPr>
          <w:p w14:paraId="3EAEE23B" w14:textId="77777777" w:rsidR="004038D2" w:rsidRDefault="004038D2">
            <w:pPr>
              <w:pStyle w:val="bmdsTblBody"/>
              <w:jc w:val="center"/>
            </w:pPr>
            <w:r>
              <w:rPr>
                <w:sz w:val="16"/>
              </w:rPr>
              <w:t>2.4</w:t>
            </w:r>
          </w:p>
        </w:tc>
        <w:tc>
          <w:tcPr>
            <w:tcW w:w="1504" w:type="dxa"/>
            <w:vAlign w:val="center"/>
            <w:hideMark/>
          </w:tcPr>
          <w:p w14:paraId="5629D2B1" w14:textId="77777777" w:rsidR="004038D2" w:rsidRDefault="004038D2">
            <w:pPr>
              <w:pStyle w:val="bmdsTblBody"/>
              <w:jc w:val="center"/>
            </w:pPr>
            <w:r>
              <w:rPr>
                <w:sz w:val="16"/>
              </w:rPr>
              <w:t>UP</w:t>
            </w:r>
          </w:p>
        </w:tc>
      </w:tr>
      <w:tr w:rsidR="004038D2" w14:paraId="615FF352" w14:textId="77777777" w:rsidTr="004038D2">
        <w:tc>
          <w:tcPr>
            <w:tcW w:w="1951" w:type="dxa"/>
            <w:vAlign w:val="center"/>
            <w:hideMark/>
          </w:tcPr>
          <w:p w14:paraId="042CC804" w14:textId="77777777" w:rsidR="004038D2" w:rsidRDefault="004038D2">
            <w:pPr>
              <w:pStyle w:val="bmdsTblBody"/>
            </w:pPr>
            <w:proofErr w:type="spellStart"/>
            <w:r>
              <w:rPr>
                <w:b/>
              </w:rPr>
              <w:t>clec4a</w:t>
            </w:r>
            <w:proofErr w:type="spellEnd"/>
          </w:p>
        </w:tc>
        <w:tc>
          <w:tcPr>
            <w:tcW w:w="1220" w:type="dxa"/>
            <w:vAlign w:val="center"/>
            <w:hideMark/>
          </w:tcPr>
          <w:p w14:paraId="4501E80B" w14:textId="77777777" w:rsidR="004038D2" w:rsidRDefault="004038D2">
            <w:pPr>
              <w:pStyle w:val="bmdsTblBody"/>
              <w:jc w:val="center"/>
            </w:pPr>
            <w:r>
              <w:rPr>
                <w:sz w:val="16"/>
              </w:rPr>
              <w:t>474143</w:t>
            </w:r>
          </w:p>
        </w:tc>
        <w:tc>
          <w:tcPr>
            <w:tcW w:w="1766" w:type="dxa"/>
            <w:vAlign w:val="center"/>
            <w:hideMark/>
          </w:tcPr>
          <w:p w14:paraId="752FB660" w14:textId="77777777" w:rsidR="004038D2" w:rsidRDefault="004038D2">
            <w:pPr>
              <w:pStyle w:val="bmdsTblBody"/>
              <w:jc w:val="center"/>
            </w:pPr>
            <w:r>
              <w:rPr>
                <w:sz w:val="16"/>
              </w:rPr>
              <w:t>CLEC4A_32636</w:t>
            </w:r>
          </w:p>
        </w:tc>
        <w:tc>
          <w:tcPr>
            <w:tcW w:w="1459" w:type="dxa"/>
            <w:vAlign w:val="center"/>
            <w:hideMark/>
          </w:tcPr>
          <w:p w14:paraId="42746C8C" w14:textId="77777777" w:rsidR="004038D2" w:rsidRDefault="004038D2">
            <w:pPr>
              <w:pStyle w:val="bmdsTblBody"/>
              <w:jc w:val="center"/>
            </w:pPr>
            <w:r>
              <w:rPr>
                <w:sz w:val="16"/>
              </w:rPr>
              <w:t>82.466 (47.872-265.955)</w:t>
            </w:r>
          </w:p>
        </w:tc>
        <w:tc>
          <w:tcPr>
            <w:tcW w:w="1460" w:type="dxa"/>
            <w:vAlign w:val="center"/>
            <w:hideMark/>
          </w:tcPr>
          <w:p w14:paraId="07751174" w14:textId="77777777" w:rsidR="004038D2" w:rsidRDefault="004038D2">
            <w:pPr>
              <w:pStyle w:val="bmdsTblBody"/>
              <w:jc w:val="center"/>
            </w:pPr>
            <w:r>
              <w:rPr>
                <w:sz w:val="16"/>
              </w:rPr>
              <w:t>2.2</w:t>
            </w:r>
          </w:p>
        </w:tc>
        <w:tc>
          <w:tcPr>
            <w:tcW w:w="1504" w:type="dxa"/>
            <w:vAlign w:val="center"/>
            <w:hideMark/>
          </w:tcPr>
          <w:p w14:paraId="312B3368" w14:textId="77777777" w:rsidR="004038D2" w:rsidRDefault="004038D2">
            <w:pPr>
              <w:pStyle w:val="bmdsTblBody"/>
              <w:jc w:val="center"/>
            </w:pPr>
            <w:r>
              <w:rPr>
                <w:sz w:val="16"/>
              </w:rPr>
              <w:t>UP</w:t>
            </w:r>
          </w:p>
        </w:tc>
      </w:tr>
      <w:tr w:rsidR="004038D2" w14:paraId="53B8C0D5" w14:textId="77777777" w:rsidTr="004038D2">
        <w:tc>
          <w:tcPr>
            <w:tcW w:w="1951" w:type="dxa"/>
            <w:vAlign w:val="center"/>
            <w:hideMark/>
          </w:tcPr>
          <w:p w14:paraId="39068920" w14:textId="77777777" w:rsidR="004038D2" w:rsidRDefault="004038D2">
            <w:pPr>
              <w:pStyle w:val="bmdsTblBody"/>
            </w:pPr>
            <w:proofErr w:type="spellStart"/>
            <w:r>
              <w:rPr>
                <w:b/>
              </w:rPr>
              <w:t>cyp26b1</w:t>
            </w:r>
            <w:proofErr w:type="spellEnd"/>
          </w:p>
        </w:tc>
        <w:tc>
          <w:tcPr>
            <w:tcW w:w="1220" w:type="dxa"/>
            <w:vAlign w:val="center"/>
            <w:hideMark/>
          </w:tcPr>
          <w:p w14:paraId="4AC75F86" w14:textId="77777777" w:rsidR="004038D2" w:rsidRDefault="004038D2">
            <w:pPr>
              <w:pStyle w:val="bmdsTblBody"/>
              <w:jc w:val="center"/>
            </w:pPr>
            <w:r>
              <w:rPr>
                <w:sz w:val="16"/>
              </w:rPr>
              <w:t>312495</w:t>
            </w:r>
          </w:p>
        </w:tc>
        <w:tc>
          <w:tcPr>
            <w:tcW w:w="1766" w:type="dxa"/>
            <w:vAlign w:val="center"/>
            <w:hideMark/>
          </w:tcPr>
          <w:p w14:paraId="5DA87BC8" w14:textId="77777777" w:rsidR="004038D2" w:rsidRDefault="004038D2">
            <w:pPr>
              <w:pStyle w:val="bmdsTblBody"/>
              <w:jc w:val="center"/>
            </w:pPr>
            <w:r>
              <w:rPr>
                <w:sz w:val="16"/>
              </w:rPr>
              <w:t>CYP26B1_8418</w:t>
            </w:r>
          </w:p>
        </w:tc>
        <w:tc>
          <w:tcPr>
            <w:tcW w:w="1459" w:type="dxa"/>
            <w:vAlign w:val="center"/>
            <w:hideMark/>
          </w:tcPr>
          <w:p w14:paraId="23A19B46" w14:textId="77777777" w:rsidR="004038D2" w:rsidRDefault="004038D2">
            <w:pPr>
              <w:pStyle w:val="bmdsTblBody"/>
              <w:jc w:val="center"/>
            </w:pPr>
            <w:r>
              <w:rPr>
                <w:sz w:val="16"/>
              </w:rPr>
              <w:t>238.250 (181.323-370.243)</w:t>
            </w:r>
          </w:p>
        </w:tc>
        <w:tc>
          <w:tcPr>
            <w:tcW w:w="1460" w:type="dxa"/>
            <w:vAlign w:val="center"/>
            <w:hideMark/>
          </w:tcPr>
          <w:p w14:paraId="09CE8A53" w14:textId="77777777" w:rsidR="004038D2" w:rsidRDefault="004038D2">
            <w:pPr>
              <w:pStyle w:val="bmdsTblBody"/>
              <w:jc w:val="center"/>
            </w:pPr>
            <w:r>
              <w:rPr>
                <w:sz w:val="16"/>
              </w:rPr>
              <w:t>2.8</w:t>
            </w:r>
          </w:p>
        </w:tc>
        <w:tc>
          <w:tcPr>
            <w:tcW w:w="1504" w:type="dxa"/>
            <w:vAlign w:val="center"/>
            <w:hideMark/>
          </w:tcPr>
          <w:p w14:paraId="539D46FA" w14:textId="77777777" w:rsidR="004038D2" w:rsidRDefault="004038D2">
            <w:pPr>
              <w:pStyle w:val="bmdsTblBody"/>
              <w:jc w:val="center"/>
            </w:pPr>
            <w:r>
              <w:rPr>
                <w:sz w:val="16"/>
              </w:rPr>
              <w:t>UP</w:t>
            </w:r>
          </w:p>
        </w:tc>
      </w:tr>
      <w:tr w:rsidR="004038D2" w14:paraId="6CE73A35" w14:textId="77777777" w:rsidTr="004038D2">
        <w:tc>
          <w:tcPr>
            <w:tcW w:w="1951" w:type="dxa"/>
            <w:tcBorders>
              <w:top w:val="nil"/>
              <w:left w:val="nil"/>
              <w:bottom w:val="single" w:sz="2" w:space="0" w:color="000000"/>
              <w:right w:val="nil"/>
            </w:tcBorders>
            <w:vAlign w:val="center"/>
            <w:hideMark/>
          </w:tcPr>
          <w:p w14:paraId="71CA8750" w14:textId="77777777" w:rsidR="004038D2" w:rsidRDefault="004038D2">
            <w:pPr>
              <w:pStyle w:val="bmdsTblBody"/>
            </w:pPr>
            <w:proofErr w:type="spellStart"/>
            <w:r>
              <w:rPr>
                <w:b/>
              </w:rPr>
              <w:t>lilrb4</w:t>
            </w:r>
            <w:proofErr w:type="spellEnd"/>
          </w:p>
        </w:tc>
        <w:tc>
          <w:tcPr>
            <w:tcW w:w="1220" w:type="dxa"/>
            <w:tcBorders>
              <w:top w:val="nil"/>
              <w:left w:val="nil"/>
              <w:bottom w:val="single" w:sz="2" w:space="0" w:color="000000"/>
              <w:right w:val="nil"/>
            </w:tcBorders>
            <w:vAlign w:val="center"/>
            <w:hideMark/>
          </w:tcPr>
          <w:p w14:paraId="01B60366" w14:textId="77777777" w:rsidR="004038D2" w:rsidRDefault="004038D2">
            <w:pPr>
              <w:pStyle w:val="bmdsTblBody"/>
              <w:jc w:val="center"/>
            </w:pPr>
            <w:r>
              <w:rPr>
                <w:sz w:val="16"/>
              </w:rPr>
              <w:t>292594</w:t>
            </w:r>
          </w:p>
        </w:tc>
        <w:tc>
          <w:tcPr>
            <w:tcW w:w="1766" w:type="dxa"/>
            <w:tcBorders>
              <w:top w:val="nil"/>
              <w:left w:val="nil"/>
              <w:bottom w:val="single" w:sz="2" w:space="0" w:color="000000"/>
              <w:right w:val="nil"/>
            </w:tcBorders>
            <w:vAlign w:val="center"/>
            <w:hideMark/>
          </w:tcPr>
          <w:p w14:paraId="3EAD12EE" w14:textId="77777777" w:rsidR="004038D2" w:rsidRDefault="004038D2">
            <w:pPr>
              <w:pStyle w:val="bmdsTblBody"/>
              <w:jc w:val="center"/>
            </w:pPr>
            <w:r>
              <w:rPr>
                <w:sz w:val="16"/>
              </w:rPr>
              <w:t>LILRB4_9000</w:t>
            </w:r>
          </w:p>
        </w:tc>
        <w:tc>
          <w:tcPr>
            <w:tcW w:w="1459" w:type="dxa"/>
            <w:tcBorders>
              <w:top w:val="nil"/>
              <w:left w:val="nil"/>
              <w:bottom w:val="single" w:sz="2" w:space="0" w:color="000000"/>
              <w:right w:val="nil"/>
            </w:tcBorders>
            <w:vAlign w:val="center"/>
            <w:hideMark/>
          </w:tcPr>
          <w:p w14:paraId="10BC1B1E" w14:textId="77777777" w:rsidR="004038D2" w:rsidRDefault="004038D2">
            <w:pPr>
              <w:pStyle w:val="bmdsTblBody"/>
              <w:jc w:val="center"/>
            </w:pPr>
            <w:r>
              <w:rPr>
                <w:sz w:val="16"/>
              </w:rPr>
              <w:t>350.991 (212.248-1011.690)</w:t>
            </w:r>
          </w:p>
        </w:tc>
        <w:tc>
          <w:tcPr>
            <w:tcW w:w="1460" w:type="dxa"/>
            <w:tcBorders>
              <w:top w:val="nil"/>
              <w:left w:val="nil"/>
              <w:bottom w:val="single" w:sz="2" w:space="0" w:color="000000"/>
              <w:right w:val="nil"/>
            </w:tcBorders>
            <w:vAlign w:val="center"/>
            <w:hideMark/>
          </w:tcPr>
          <w:p w14:paraId="1B691289" w14:textId="77777777" w:rsidR="004038D2" w:rsidRDefault="004038D2">
            <w:pPr>
              <w:pStyle w:val="bmdsTblBody"/>
              <w:jc w:val="center"/>
            </w:pPr>
            <w:r>
              <w:rPr>
                <w:sz w:val="16"/>
              </w:rPr>
              <w:t>2.3</w:t>
            </w:r>
          </w:p>
        </w:tc>
        <w:tc>
          <w:tcPr>
            <w:tcW w:w="1504" w:type="dxa"/>
            <w:tcBorders>
              <w:top w:val="nil"/>
              <w:left w:val="nil"/>
              <w:bottom w:val="single" w:sz="2" w:space="0" w:color="000000"/>
              <w:right w:val="nil"/>
            </w:tcBorders>
            <w:vAlign w:val="center"/>
            <w:hideMark/>
          </w:tcPr>
          <w:p w14:paraId="28F8D3EF" w14:textId="77777777" w:rsidR="004038D2" w:rsidRDefault="004038D2">
            <w:pPr>
              <w:pStyle w:val="bmdsTblBody"/>
              <w:jc w:val="center"/>
            </w:pPr>
            <w:r>
              <w:rPr>
                <w:sz w:val="16"/>
              </w:rPr>
              <w:t>UP</w:t>
            </w:r>
          </w:p>
        </w:tc>
      </w:tr>
    </w:tbl>
    <w:p w14:paraId="7DB100E8" w14:textId="77777777" w:rsidR="004038D2" w:rsidRDefault="004038D2" w:rsidP="004038D2">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Descriptions of orthologous human genes are shown due to the increased detail that is available in public resources such as </w:t>
      </w:r>
      <w:proofErr w:type="spellStart"/>
      <w:r>
        <w:rPr>
          <w:rFonts w:ascii="Times New Roman" w:hAnsi="Times New Roman" w:cs="Times New Roman"/>
          <w:color w:val="000000" w:themeColor="text1"/>
          <w:sz w:val="18"/>
          <w:szCs w:val="18"/>
        </w:rPr>
        <w:t>UniprotKB</w:t>
      </w:r>
      <w:proofErr w:type="spellEnd"/>
      <w:r>
        <w:rPr>
          <w:rFonts w:ascii="Times New Roman" w:hAnsi="Times New Roman" w:cs="Times New Roman"/>
          <w:color w:val="000000" w:themeColor="text1"/>
          <w:sz w:val="18"/>
          <w:szCs w:val="18"/>
        </w:rPr>
        <w:t xml:space="preserve"> (</w:t>
      </w:r>
      <w:hyperlink r:id="rId6" w:history="1">
        <w:r>
          <w:rPr>
            <w:rStyle w:val="Hyperlink"/>
            <w:rFonts w:ascii="Times New Roman" w:hAnsi="Times New Roman" w:cs="Times New Roman"/>
            <w:sz w:val="18"/>
            <w:szCs w:val="18"/>
          </w:rPr>
          <w:t>https://www.uniprot.org/uniprot/</w:t>
        </w:r>
      </w:hyperlink>
      <w:r>
        <w:rPr>
          <w:rFonts w:ascii="Times New Roman" w:hAnsi="Times New Roman" w:cs="Times New Roman"/>
          <w:color w:val="000000" w:themeColor="text1"/>
          <w:sz w:val="18"/>
          <w:szCs w:val="18"/>
        </w:rPr>
        <w:t>) and Entrez Gene (</w:t>
      </w:r>
      <w:hyperlink r:id="rId7" w:history="1">
        <w:r>
          <w:rPr>
            <w:rStyle w:val="Hyperlink"/>
            <w:rFonts w:ascii="Times New Roman" w:hAnsi="Times New Roman" w:cs="Times New Roman"/>
            <w:sz w:val="18"/>
            <w:szCs w:val="18"/>
          </w:rPr>
          <w:t>https://www.ncbi.nlm.nih.gov/gene/</w:t>
        </w:r>
      </w:hyperlink>
      <w:r>
        <w:rPr>
          <w:rFonts w:ascii="Times New Roman" w:hAnsi="Times New Roman" w:cs="Times New Roman"/>
          <w:color w:val="000000" w:themeColor="text1"/>
          <w:sz w:val="18"/>
          <w:szCs w:val="18"/>
        </w:rPr>
        <w:t xml:space="preserve">). Human </w:t>
      </w:r>
      <w:proofErr w:type="spellStart"/>
      <w:r>
        <w:rPr>
          <w:rFonts w:ascii="Times New Roman" w:hAnsi="Times New Roman" w:cs="Times New Roman"/>
          <w:color w:val="000000" w:themeColor="text1"/>
          <w:sz w:val="18"/>
          <w:szCs w:val="18"/>
        </w:rPr>
        <w:t>UniprotKB</w:t>
      </w:r>
      <w:proofErr w:type="spellEnd"/>
      <w:r>
        <w:rPr>
          <w:rFonts w:ascii="Times New Roman" w:hAnsi="Times New Roman" w:cs="Times New Roman"/>
          <w:color w:val="000000" w:themeColor="text1"/>
          <w:sz w:val="18"/>
          <w:szCs w:val="18"/>
        </w:rPr>
        <w:t xml:space="preserve"> was used as primary resource due to the greater breadth of annotation and depth of functional detail that is provided. Rat </w:t>
      </w:r>
      <w:proofErr w:type="spellStart"/>
      <w:r>
        <w:rPr>
          <w:rFonts w:ascii="Times New Roman" w:hAnsi="Times New Roman" w:cs="Times New Roman"/>
          <w:color w:val="000000" w:themeColor="text1"/>
          <w:sz w:val="18"/>
          <w:szCs w:val="18"/>
        </w:rPr>
        <w:t>UniprotKB</w:t>
      </w:r>
      <w:proofErr w:type="spellEnd"/>
      <w:r>
        <w:rPr>
          <w:rFonts w:ascii="Times New Roman" w:hAnsi="Times New Roman" w:cs="Times New Roman"/>
          <w:color w:val="000000" w:themeColor="text1"/>
          <w:sz w:val="18"/>
          <w:szCs w:val="18"/>
        </w:rPr>
        <w:t xml:space="preserve"> was used as the second resource if the primary source did not provide a detailed description of function. Human Entrez gene summary was used as third resource. Rat Entrez gene summary was used as the fourth resource.</w:t>
      </w:r>
    </w:p>
    <w:p w14:paraId="0A7CB5A7" w14:textId="77777777" w:rsidR="004038D2" w:rsidRDefault="004038D2" w:rsidP="004038D2">
      <w:pPr>
        <w:pStyle w:val="bmdsTblFootnote"/>
      </w:pPr>
      <w:r>
        <w:t>&lt;0.023 = A best-fit model as identified calculated a BMD that was less than 1/3 of the lowest tested dose in this study.</w:t>
      </w:r>
    </w:p>
    <w:p w14:paraId="6D517466" w14:textId="77777777" w:rsidR="004038D2" w:rsidRDefault="004038D2" w:rsidP="004038D2">
      <w:pPr>
        <w:pStyle w:val="bmdsTblFootnote"/>
      </w:pPr>
      <w:r>
        <w:t>NR = The BMD</w:t>
      </w:r>
      <w:r>
        <w:rPr>
          <w:vertAlign w:val="subscript"/>
        </w:rPr>
        <w:t>L</w:t>
      </w:r>
      <w:r>
        <w:t>-BMD</w:t>
      </w:r>
      <w:r>
        <w:rPr>
          <w:vertAlign w:val="subscript"/>
        </w:rPr>
        <w:t>U</w:t>
      </w:r>
      <w:r>
        <w:t xml:space="preserve"> range is not reportable because the BMD median is below the lower limit of extrapolation (less than 1/3 of the lowest tested dose in this study).</w:t>
      </w:r>
    </w:p>
    <w:p w14:paraId="68EB57C0" w14:textId="5EE82D4F" w:rsidR="004038D2" w:rsidRDefault="004038D2" w:rsidP="004038D2">
      <w:pPr>
        <w:pStyle w:val="bmdsTblFootnote"/>
      </w:pPr>
      <w:r>
        <w:rPr>
          <w:b/>
        </w:rPr>
        <w:t xml:space="preserve">Gene definition version: </w:t>
      </w:r>
      <w:r w:rsidR="007A3CE6" w:rsidRPr="000E6A0C">
        <w:rPr>
          <w:rFonts w:eastAsia="Calibri" w:cs="Times New Roman"/>
          <w:bCs/>
          <w:szCs w:val="18"/>
        </w:rPr>
        <w:t xml:space="preserve">https://cebs.niehs.nih.gov/cebs/study/002-00600-0002-000-0 </w:t>
      </w:r>
      <w:proofErr w:type="spellStart"/>
      <w:r w:rsidR="007A3CE6" w:rsidRPr="000E6A0C">
        <w:rPr>
          <w:rFonts w:eastAsia="Calibri" w:cs="Times New Roman"/>
          <w:bCs/>
          <w:szCs w:val="18"/>
        </w:rPr>
        <w:t>V05</w:t>
      </w:r>
      <w:r w:rsidR="00033D31">
        <w:rPr>
          <w:rFonts w:eastAsia="Calibri" w:cs="Times New Roman"/>
          <w:bCs/>
          <w:szCs w:val="18"/>
        </w:rPr>
        <w:t>28</w:t>
      </w:r>
      <w:r w:rsidR="007A3CE6" w:rsidRPr="000E6A0C">
        <w:rPr>
          <w:rFonts w:eastAsia="Calibri" w:cs="Times New Roman"/>
          <w:bCs/>
          <w:szCs w:val="18"/>
        </w:rPr>
        <w:t>2021</w:t>
      </w:r>
      <w:proofErr w:type="spellEnd"/>
    </w:p>
    <w:p w14:paraId="279253C4" w14:textId="77777777" w:rsidR="004038D2" w:rsidRDefault="004038D2" w:rsidP="004038D2">
      <w:pPr>
        <w:pStyle w:val="bmdsTblFootnote"/>
      </w:pPr>
      <w:proofErr w:type="spellStart"/>
      <w:r>
        <w:rPr>
          <w:b/>
        </w:rPr>
        <w:t>Mrc1</w:t>
      </w:r>
      <w:proofErr w:type="spellEnd"/>
      <w:r>
        <w:rPr>
          <w:b/>
        </w:rPr>
        <w:t>:</w:t>
      </w:r>
      <w:r>
        <w:rPr>
          <w:i/>
        </w:rPr>
        <w:t xml:space="preserve"> Human </w:t>
      </w:r>
      <w:proofErr w:type="spellStart"/>
      <w:r>
        <w:rPr>
          <w:i/>
        </w:rPr>
        <w:t>Uniprot</w:t>
      </w:r>
      <w:proofErr w:type="spellEnd"/>
      <w:r>
        <w:rPr>
          <w:i/>
        </w:rPr>
        <w:t xml:space="preserve"> function (Human MRC1):</w:t>
      </w:r>
      <w:r>
        <w:t xml:space="preserve"> Mediates the endocytosis of glycoproteins by macrophages. Binds both sulfated and non-sulfated polysaccharide chains.; FUNCTION (Microbial infection) Acts as phagocytic receptor for bacteria, fungi and other pathogens.; FUNCTION (Microbial infection) Acts as a receptor for Dengue virus envelope protein E. {</w:t>
      </w:r>
      <w:proofErr w:type="spellStart"/>
      <w:r>
        <w:t>ECO0000269|PubMed18266465</w:t>
      </w:r>
      <w:proofErr w:type="spellEnd"/>
      <w:r>
        <w:t>}.; FUNCTION (Microbial infection) Interacts with Hepatitis B virus envelope protein. {</w:t>
      </w:r>
      <w:proofErr w:type="spellStart"/>
      <w:r>
        <w:t>ECO0000269|PubMed19683778</w:t>
      </w:r>
      <w:proofErr w:type="spellEnd"/>
      <w:r>
        <w:t>}.</w:t>
      </w:r>
    </w:p>
    <w:p w14:paraId="33A45913" w14:textId="77777777" w:rsidR="004038D2" w:rsidRDefault="004038D2" w:rsidP="004038D2">
      <w:pPr>
        <w:pStyle w:val="bmdsTblFootnote"/>
      </w:pPr>
      <w:proofErr w:type="spellStart"/>
      <w:r>
        <w:rPr>
          <w:b/>
        </w:rPr>
        <w:t>Ckap2</w:t>
      </w:r>
      <w:proofErr w:type="spellEnd"/>
      <w:r>
        <w:rPr>
          <w:b/>
        </w:rPr>
        <w:t>:</w:t>
      </w:r>
      <w:r>
        <w:rPr>
          <w:i/>
        </w:rPr>
        <w:t xml:space="preserve"> Human </w:t>
      </w:r>
      <w:proofErr w:type="spellStart"/>
      <w:r>
        <w:rPr>
          <w:i/>
        </w:rPr>
        <w:t>Uniprot</w:t>
      </w:r>
      <w:proofErr w:type="spellEnd"/>
      <w:r>
        <w:rPr>
          <w:i/>
        </w:rPr>
        <w:t xml:space="preserve"> function (Human CKAP2):</w:t>
      </w:r>
      <w:r>
        <w:t xml:space="preserve"> Possesses microtubule stabilizing properties. Involved in regulating aneuploidy, cell cycling, and cell death in a </w:t>
      </w:r>
      <w:proofErr w:type="spellStart"/>
      <w:r>
        <w:t>p53</w:t>
      </w:r>
      <w:proofErr w:type="spellEnd"/>
      <w:r>
        <w:t>/TP53-dependent manner (By similarity). {ECO0000250}.</w:t>
      </w:r>
    </w:p>
    <w:p w14:paraId="42FA03B2" w14:textId="77777777" w:rsidR="004038D2" w:rsidRDefault="004038D2" w:rsidP="004038D2">
      <w:pPr>
        <w:pStyle w:val="bmdsTblFootnote"/>
      </w:pPr>
      <w:proofErr w:type="spellStart"/>
      <w:r>
        <w:rPr>
          <w:b/>
        </w:rPr>
        <w:t>Ugt2b37</w:t>
      </w:r>
      <w:proofErr w:type="spellEnd"/>
      <w:r>
        <w:rPr>
          <w:b/>
        </w:rPr>
        <w:t>:</w:t>
      </w:r>
      <w:r>
        <w:rPr>
          <w:i/>
        </w:rPr>
        <w:t xml:space="preserve"> Human </w:t>
      </w:r>
      <w:proofErr w:type="spellStart"/>
      <w:r>
        <w:rPr>
          <w:i/>
        </w:rPr>
        <w:t>Uniprot</w:t>
      </w:r>
      <w:proofErr w:type="spellEnd"/>
      <w:r>
        <w:rPr>
          <w:i/>
        </w:rPr>
        <w:t xml:space="preserve"> function (Human UGT2B10):</w:t>
      </w:r>
      <w:r>
        <w:t xml:space="preserve"> UDPGT is of major importance in the conjugation and subsequent elimination of potentially toxic xenobiotics and endogenous compounds. UDB10_</w:t>
      </w:r>
      <w:proofErr w:type="gramStart"/>
      <w:r>
        <w:t>HUMAN,P</w:t>
      </w:r>
      <w:proofErr w:type="gramEnd"/>
      <w:r>
        <w:t>36537</w:t>
      </w:r>
    </w:p>
    <w:p w14:paraId="0C6C9CAF" w14:textId="77777777" w:rsidR="004038D2" w:rsidRDefault="004038D2" w:rsidP="004038D2">
      <w:pPr>
        <w:pStyle w:val="bmdsTblFootnote"/>
      </w:pPr>
      <w:proofErr w:type="spellStart"/>
      <w:r>
        <w:rPr>
          <w:b/>
        </w:rPr>
        <w:t>Slc51a</w:t>
      </w:r>
      <w:proofErr w:type="spellEnd"/>
      <w:r>
        <w:rPr>
          <w:b/>
        </w:rPr>
        <w:t>:</w:t>
      </w:r>
      <w:r>
        <w:rPr>
          <w:i/>
        </w:rPr>
        <w:t xml:space="preserve"> Human </w:t>
      </w:r>
      <w:proofErr w:type="spellStart"/>
      <w:r>
        <w:rPr>
          <w:i/>
        </w:rPr>
        <w:t>Uniprot</w:t>
      </w:r>
      <w:proofErr w:type="spellEnd"/>
      <w:r>
        <w:rPr>
          <w:i/>
        </w:rPr>
        <w:t xml:space="preserve"> function (Human SLC51A):</w:t>
      </w:r>
      <w:r>
        <w:t xml:space="preserve"> Essential component of the Ost-alpha/Ost-beta complex, a heterodimer that acts as the intestinal basolateral transporter responsible for bile acid export from enterocytes into portal blood. Efficiently transports the major species of bile acids. {</w:t>
      </w:r>
      <w:proofErr w:type="spellStart"/>
      <w:r>
        <w:t>ECO0000269|PubMed16317684</w:t>
      </w:r>
      <w:proofErr w:type="spellEnd"/>
      <w:r>
        <w:t>}.</w:t>
      </w:r>
    </w:p>
    <w:p w14:paraId="3DC390F5" w14:textId="77777777" w:rsidR="004038D2" w:rsidRDefault="004038D2" w:rsidP="004038D2">
      <w:pPr>
        <w:pStyle w:val="bmdsTblFootnote"/>
      </w:pPr>
      <w:proofErr w:type="spellStart"/>
      <w:r>
        <w:rPr>
          <w:b/>
        </w:rPr>
        <w:t>Ugt2b7</w:t>
      </w:r>
      <w:proofErr w:type="spellEnd"/>
      <w:r>
        <w:rPr>
          <w:b/>
        </w:rPr>
        <w:t>:</w:t>
      </w:r>
      <w:r>
        <w:rPr>
          <w:i/>
        </w:rPr>
        <w:t xml:space="preserve"> Human </w:t>
      </w:r>
      <w:proofErr w:type="spellStart"/>
      <w:r>
        <w:rPr>
          <w:i/>
        </w:rPr>
        <w:t>Uniprot</w:t>
      </w:r>
      <w:proofErr w:type="spellEnd"/>
      <w:r>
        <w:rPr>
          <w:i/>
        </w:rPr>
        <w:t xml:space="preserve"> function (Human UGT2B7):</w:t>
      </w:r>
      <w:r>
        <w:t xml:space="preserve"> UDP-glucuronosyltransferase (UGT) that catalyzes phase II biotransformation reactions in which lipophilic substrates are conjugated with glucuronic acid to increase the metabolite's water solubility, thereby facilitating excretion into either the urine or bile (</w:t>
      </w:r>
      <w:proofErr w:type="spellStart"/>
      <w:r>
        <w:t>PubMed10702251</w:t>
      </w:r>
      <w:proofErr w:type="spellEnd"/>
      <w:r>
        <w:t xml:space="preserve">, </w:t>
      </w:r>
      <w:proofErr w:type="spellStart"/>
      <w:r>
        <w:t>PubMed15472229</w:t>
      </w:r>
      <w:proofErr w:type="spellEnd"/>
      <w:r>
        <w:t xml:space="preserve">, </w:t>
      </w:r>
      <w:proofErr w:type="spellStart"/>
      <w:r>
        <w:t>PubMed15470161</w:t>
      </w:r>
      <w:proofErr w:type="spellEnd"/>
      <w:r>
        <w:t xml:space="preserve">, </w:t>
      </w:r>
      <w:proofErr w:type="spellStart"/>
      <w:r>
        <w:t>PubMed18674515</w:t>
      </w:r>
      <w:proofErr w:type="spellEnd"/>
      <w:r>
        <w:t xml:space="preserve">, </w:t>
      </w:r>
      <w:proofErr w:type="spellStart"/>
      <w:r>
        <w:t>PubMed18719240</w:t>
      </w:r>
      <w:proofErr w:type="spellEnd"/>
      <w:r>
        <w:t xml:space="preserve">, </w:t>
      </w:r>
      <w:proofErr w:type="spellStart"/>
      <w:r>
        <w:t>PubMed19022937</w:t>
      </w:r>
      <w:proofErr w:type="spellEnd"/>
      <w:r>
        <w:t xml:space="preserve">, </w:t>
      </w:r>
      <w:proofErr w:type="spellStart"/>
      <w:r>
        <w:t>PubMed23288867</w:t>
      </w:r>
      <w:proofErr w:type="spellEnd"/>
      <w:r>
        <w:t xml:space="preserve">, </w:t>
      </w:r>
      <w:proofErr w:type="spellStart"/>
      <w:r>
        <w:t>PubMed23756265</w:t>
      </w:r>
      <w:proofErr w:type="spellEnd"/>
      <w:r>
        <w:t xml:space="preserve">, </w:t>
      </w:r>
      <w:proofErr w:type="spellStart"/>
      <w:r>
        <w:t>PubMed26220143</w:t>
      </w:r>
      <w:proofErr w:type="spellEnd"/>
      <w:r>
        <w:t xml:space="preserve">, </w:t>
      </w:r>
      <w:proofErr w:type="spellStart"/>
      <w:r>
        <w:t>PubMed17442341</w:t>
      </w:r>
      <w:proofErr w:type="spellEnd"/>
      <w:r>
        <w:t xml:space="preserve">). Essential for the elimination and detoxification of drugs, </w:t>
      </w:r>
      <w:proofErr w:type="gramStart"/>
      <w:r>
        <w:t>xenobiotics</w:t>
      </w:r>
      <w:proofErr w:type="gramEnd"/>
      <w:r>
        <w:t xml:space="preserve"> and endogenous compounds (</w:t>
      </w:r>
      <w:proofErr w:type="spellStart"/>
      <w:r>
        <w:t>PubMed15470161</w:t>
      </w:r>
      <w:proofErr w:type="spellEnd"/>
      <w:r>
        <w:t xml:space="preserve">, </w:t>
      </w:r>
      <w:proofErr w:type="spellStart"/>
      <w:r>
        <w:t>PubMed18674515</w:t>
      </w:r>
      <w:proofErr w:type="spellEnd"/>
      <w:r>
        <w:t xml:space="preserve">, </w:t>
      </w:r>
      <w:proofErr w:type="spellStart"/>
      <w:r>
        <w:t>PubMed23756265</w:t>
      </w:r>
      <w:proofErr w:type="spellEnd"/>
      <w:r>
        <w:t xml:space="preserve">). Catalyzes the glucuronidation of endogenous steroid hormones such as androgens (epitestosterone, androsterone) and estrogens (estradiol, </w:t>
      </w:r>
      <w:proofErr w:type="spellStart"/>
      <w:r>
        <w:t>epiestradiol</w:t>
      </w:r>
      <w:proofErr w:type="spellEnd"/>
      <w:r>
        <w:t>, estriol, catechol estrogens) (</w:t>
      </w:r>
      <w:proofErr w:type="spellStart"/>
      <w:r>
        <w:t>PubMed2159463</w:t>
      </w:r>
      <w:proofErr w:type="spellEnd"/>
      <w:r>
        <w:t xml:space="preserve">, </w:t>
      </w:r>
      <w:proofErr w:type="spellStart"/>
      <w:r>
        <w:t>PubMed15472229</w:t>
      </w:r>
      <w:proofErr w:type="spellEnd"/>
      <w:r>
        <w:t xml:space="preserve">, </w:t>
      </w:r>
      <w:proofErr w:type="spellStart"/>
      <w:r>
        <w:t>PubMed18719240</w:t>
      </w:r>
      <w:proofErr w:type="spellEnd"/>
      <w:r>
        <w:t xml:space="preserve">, </w:t>
      </w:r>
      <w:proofErr w:type="spellStart"/>
      <w:r>
        <w:t>PubMed19022937</w:t>
      </w:r>
      <w:proofErr w:type="spellEnd"/>
      <w:r>
        <w:t xml:space="preserve">, </w:t>
      </w:r>
      <w:proofErr w:type="spellStart"/>
      <w:r>
        <w:t>PubMed23288867</w:t>
      </w:r>
      <w:proofErr w:type="spellEnd"/>
      <w:r>
        <w:t xml:space="preserve">, </w:t>
      </w:r>
      <w:proofErr w:type="spellStart"/>
      <w:r>
        <w:t>PubMed26220143</w:t>
      </w:r>
      <w:proofErr w:type="spellEnd"/>
      <w:r>
        <w:t xml:space="preserve">, </w:t>
      </w:r>
      <w:proofErr w:type="spellStart"/>
      <w:r>
        <w:t>PubMed17442341</w:t>
      </w:r>
      <w:proofErr w:type="spellEnd"/>
      <w:r>
        <w:t>). Also regulates the levels of retinoic acid, a major metabolite of vitamin A involved in apoptosis, cellular growth and differentiation, and embryonic development (</w:t>
      </w:r>
      <w:proofErr w:type="spellStart"/>
      <w:r>
        <w:t>PubMed10702251</w:t>
      </w:r>
      <w:proofErr w:type="spellEnd"/>
      <w:r>
        <w:t>). Contributes to bile acid (BA) detoxification by catalyzing the glucuronidation of BA substrates, which are natural detergents for dietary lipids absorption (</w:t>
      </w:r>
      <w:proofErr w:type="spellStart"/>
      <w:r>
        <w:t>PubMed23756265</w:t>
      </w:r>
      <w:proofErr w:type="spellEnd"/>
      <w:r>
        <w:t xml:space="preserve">). Involved in the glucuronidation of the AGTR1 angiotensin receptor antagonist losartan, </w:t>
      </w:r>
      <w:proofErr w:type="spellStart"/>
      <w:r>
        <w:t>caderastan</w:t>
      </w:r>
      <w:proofErr w:type="spellEnd"/>
      <w:r>
        <w:t xml:space="preserve"> and </w:t>
      </w:r>
      <w:proofErr w:type="spellStart"/>
      <w:r>
        <w:t>zolarsatan</w:t>
      </w:r>
      <w:proofErr w:type="spellEnd"/>
      <w:r>
        <w:t>, drugs which can inhibit the effect of angiotensin II (</w:t>
      </w:r>
      <w:proofErr w:type="spellStart"/>
      <w:r>
        <w:t>PubMed18674515</w:t>
      </w:r>
      <w:proofErr w:type="spellEnd"/>
      <w:r>
        <w:t>). Also metabolizes mycophenolate, an immunosuppressive agent (</w:t>
      </w:r>
      <w:proofErr w:type="spellStart"/>
      <w:r>
        <w:t>PubMed15470161</w:t>
      </w:r>
      <w:proofErr w:type="spellEnd"/>
      <w:r>
        <w:t>). {</w:t>
      </w:r>
      <w:proofErr w:type="spellStart"/>
      <w:r>
        <w:t>ECO0000269|PubMed10702251</w:t>
      </w:r>
      <w:proofErr w:type="spellEnd"/>
      <w:r>
        <w:t xml:space="preserve">, </w:t>
      </w:r>
      <w:proofErr w:type="spellStart"/>
      <w:r>
        <w:t>ECO0000269|PubMed15470161</w:t>
      </w:r>
      <w:proofErr w:type="spellEnd"/>
      <w:r>
        <w:t xml:space="preserve">, </w:t>
      </w:r>
      <w:proofErr w:type="spellStart"/>
      <w:r>
        <w:t>ECO0000269|PubMed15472229</w:t>
      </w:r>
      <w:proofErr w:type="spellEnd"/>
      <w:r>
        <w:t xml:space="preserve">, </w:t>
      </w:r>
      <w:proofErr w:type="spellStart"/>
      <w:r>
        <w:t>ECO0000269|PubMed17442341</w:t>
      </w:r>
      <w:proofErr w:type="spellEnd"/>
      <w:r>
        <w:t xml:space="preserve">, </w:t>
      </w:r>
      <w:proofErr w:type="spellStart"/>
      <w:r>
        <w:t>ECO0000269|PubMed18674515</w:t>
      </w:r>
      <w:proofErr w:type="spellEnd"/>
      <w:r>
        <w:t xml:space="preserve">, </w:t>
      </w:r>
      <w:proofErr w:type="spellStart"/>
      <w:r>
        <w:t>ECO0000269|PubMed18719240</w:t>
      </w:r>
      <w:proofErr w:type="spellEnd"/>
      <w:r>
        <w:t xml:space="preserve">, </w:t>
      </w:r>
      <w:proofErr w:type="spellStart"/>
      <w:r>
        <w:t>ECO0000269|PubMed19022937</w:t>
      </w:r>
      <w:proofErr w:type="spellEnd"/>
      <w:r>
        <w:t xml:space="preserve">, </w:t>
      </w:r>
      <w:proofErr w:type="spellStart"/>
      <w:r>
        <w:t>ECO0000269|PubMed2159463</w:t>
      </w:r>
      <w:proofErr w:type="spellEnd"/>
      <w:r>
        <w:t xml:space="preserve">, </w:t>
      </w:r>
      <w:proofErr w:type="spellStart"/>
      <w:r>
        <w:t>ECO0000269|PubMed23288867</w:t>
      </w:r>
      <w:proofErr w:type="spellEnd"/>
      <w:r>
        <w:t xml:space="preserve">, </w:t>
      </w:r>
      <w:proofErr w:type="spellStart"/>
      <w:r>
        <w:t>ECO0000269|PubMed23756265</w:t>
      </w:r>
      <w:proofErr w:type="spellEnd"/>
      <w:r>
        <w:t xml:space="preserve">, </w:t>
      </w:r>
      <w:proofErr w:type="spellStart"/>
      <w:r>
        <w:t>ECO0000269|PubMed26220143</w:t>
      </w:r>
      <w:proofErr w:type="spellEnd"/>
      <w:r>
        <w:t>}.</w:t>
      </w:r>
    </w:p>
    <w:p w14:paraId="129CE75D" w14:textId="77777777" w:rsidR="004038D2" w:rsidRDefault="004038D2" w:rsidP="004038D2">
      <w:pPr>
        <w:pStyle w:val="bmdsTblFootnote"/>
      </w:pPr>
      <w:proofErr w:type="spellStart"/>
      <w:r>
        <w:rPr>
          <w:b/>
        </w:rPr>
        <w:t>Bbox1</w:t>
      </w:r>
      <w:proofErr w:type="spellEnd"/>
      <w:r>
        <w:rPr>
          <w:b/>
        </w:rPr>
        <w:t>:</w:t>
      </w:r>
      <w:r>
        <w:rPr>
          <w:i/>
        </w:rPr>
        <w:t xml:space="preserve"> Human </w:t>
      </w:r>
      <w:proofErr w:type="spellStart"/>
      <w:r>
        <w:rPr>
          <w:i/>
        </w:rPr>
        <w:t>Uniprot</w:t>
      </w:r>
      <w:proofErr w:type="spellEnd"/>
      <w:r>
        <w:rPr>
          <w:i/>
        </w:rPr>
        <w:t xml:space="preserve"> function (Human BBOX1):</w:t>
      </w:r>
      <w:r>
        <w:t xml:space="preserve"> Catalyzes the formation of L-carnitine from gamma-</w:t>
      </w:r>
      <w:proofErr w:type="spellStart"/>
      <w:r>
        <w:t>butyrobetaine</w:t>
      </w:r>
      <w:proofErr w:type="spellEnd"/>
      <w:r>
        <w:t>.</w:t>
      </w:r>
    </w:p>
    <w:p w14:paraId="2864A4E4" w14:textId="77777777" w:rsidR="004038D2" w:rsidRDefault="004038D2" w:rsidP="004038D2">
      <w:pPr>
        <w:pStyle w:val="bmdsTblFootnote"/>
      </w:pPr>
      <w:proofErr w:type="spellStart"/>
      <w:r>
        <w:rPr>
          <w:b/>
        </w:rPr>
        <w:lastRenderedPageBreak/>
        <w:t>Adgre1</w:t>
      </w:r>
      <w:proofErr w:type="spellEnd"/>
      <w:r>
        <w:rPr>
          <w:b/>
        </w:rPr>
        <w:t>:</w:t>
      </w:r>
      <w:r>
        <w:rPr>
          <w:i/>
        </w:rPr>
        <w:t xml:space="preserve"> Human </w:t>
      </w:r>
      <w:proofErr w:type="spellStart"/>
      <w:r>
        <w:rPr>
          <w:i/>
        </w:rPr>
        <w:t>Uniprot</w:t>
      </w:r>
      <w:proofErr w:type="spellEnd"/>
      <w:r>
        <w:rPr>
          <w:i/>
        </w:rPr>
        <w:t xml:space="preserve"> function (Human ADGRE1):</w:t>
      </w:r>
      <w:r>
        <w:t xml:space="preserve"> Orphan receptor involved in cell adhesion and probably in cell-cell interactions specifically involving cells of the immune system. May play a role in regulatory T-cells (Treg) development. {</w:t>
      </w:r>
      <w:proofErr w:type="spellStart"/>
      <w:r>
        <w:t>ECO0000250|UniProtKBQ61549</w:t>
      </w:r>
      <w:proofErr w:type="spellEnd"/>
      <w:r>
        <w:t>}.</w:t>
      </w:r>
    </w:p>
    <w:p w14:paraId="38168AF5" w14:textId="77777777" w:rsidR="004038D2" w:rsidRDefault="004038D2" w:rsidP="004038D2">
      <w:pPr>
        <w:pStyle w:val="bmdsTblFootnote"/>
      </w:pPr>
      <w:proofErr w:type="spellStart"/>
      <w:r>
        <w:rPr>
          <w:b/>
        </w:rPr>
        <w:t>Clec4a</w:t>
      </w:r>
      <w:proofErr w:type="spellEnd"/>
      <w:r>
        <w:rPr>
          <w:b/>
        </w:rPr>
        <w:t>:</w:t>
      </w:r>
      <w:r>
        <w:rPr>
          <w:i/>
        </w:rPr>
        <w:t xml:space="preserve"> Human </w:t>
      </w:r>
      <w:proofErr w:type="spellStart"/>
      <w:r>
        <w:rPr>
          <w:i/>
        </w:rPr>
        <w:t>Uniprot</w:t>
      </w:r>
      <w:proofErr w:type="spellEnd"/>
      <w:r>
        <w:rPr>
          <w:i/>
        </w:rPr>
        <w:t xml:space="preserve"> function (Human CLEC6A):</w:t>
      </w:r>
      <w:r>
        <w:t xml:space="preserve"> Binds high-mannose carbohydrates in a </w:t>
      </w:r>
      <w:proofErr w:type="gramStart"/>
      <w:r>
        <w:t>Ca(</w:t>
      </w:r>
      <w:proofErr w:type="gramEnd"/>
      <w:r>
        <w:t>2+)-dependent manner (</w:t>
      </w:r>
      <w:proofErr w:type="spellStart"/>
      <w:r>
        <w:t>PubMed28652405</w:t>
      </w:r>
      <w:proofErr w:type="spellEnd"/>
      <w:r>
        <w:t xml:space="preserve">). Functional receptor for alpha-mannans on </w:t>
      </w:r>
      <w:proofErr w:type="spellStart"/>
      <w:proofErr w:type="gramStart"/>
      <w:r>
        <w:t>C.albicans</w:t>
      </w:r>
      <w:proofErr w:type="spellEnd"/>
      <w:proofErr w:type="gramEnd"/>
      <w:r>
        <w:t xml:space="preserve"> </w:t>
      </w:r>
      <w:proofErr w:type="spellStart"/>
      <w:r>
        <w:t>hypheas</w:t>
      </w:r>
      <w:proofErr w:type="spellEnd"/>
      <w:r>
        <w:t xml:space="preserve">. Plays an important role in the host defense against </w:t>
      </w:r>
      <w:proofErr w:type="spellStart"/>
      <w:proofErr w:type="gramStart"/>
      <w:r>
        <w:t>C.albicans</w:t>
      </w:r>
      <w:proofErr w:type="spellEnd"/>
      <w:proofErr w:type="gramEnd"/>
      <w:r>
        <w:t xml:space="preserve"> infection by inducing TH17 cell differentiation. Recognizes also, in a mannose-dependent manner, allergens from house dust mite and fungi, by promoting cysteinyl leukotriene production. Recognizes soluble elements from the eggs of </w:t>
      </w:r>
      <w:proofErr w:type="spellStart"/>
      <w:r>
        <w:t>Shistosoma</w:t>
      </w:r>
      <w:proofErr w:type="spellEnd"/>
      <w:r>
        <w:t xml:space="preserve"> </w:t>
      </w:r>
      <w:proofErr w:type="spellStart"/>
      <w:r>
        <w:t>mansoni</w:t>
      </w:r>
      <w:proofErr w:type="spellEnd"/>
      <w:r>
        <w:t xml:space="preserve"> altering adaptive immune responses. Transduces signals through an Fc receptor gamma chain /FCER1G and </w:t>
      </w:r>
      <w:proofErr w:type="spellStart"/>
      <w:r>
        <w:t>Syk</w:t>
      </w:r>
      <w:proofErr w:type="spellEnd"/>
      <w:r>
        <w:t>-CARD9-NF-kappa-B-dependent pathway (By similarity). {</w:t>
      </w:r>
      <w:proofErr w:type="spellStart"/>
      <w:r>
        <w:t>ECO0000250|UniProtKBQ9JKF4</w:t>
      </w:r>
      <w:proofErr w:type="spellEnd"/>
      <w:r>
        <w:t xml:space="preserve">, </w:t>
      </w:r>
      <w:proofErr w:type="spellStart"/>
      <w:r>
        <w:t>ECO0000269|PubMed28652405</w:t>
      </w:r>
      <w:proofErr w:type="spellEnd"/>
      <w:r>
        <w:t>}.</w:t>
      </w:r>
    </w:p>
    <w:p w14:paraId="53DDA175" w14:textId="77777777" w:rsidR="004038D2" w:rsidRDefault="004038D2" w:rsidP="004038D2">
      <w:pPr>
        <w:pStyle w:val="bmdsTblFootnote"/>
      </w:pPr>
      <w:proofErr w:type="spellStart"/>
      <w:r>
        <w:rPr>
          <w:b/>
        </w:rPr>
        <w:t>Cyp26b1</w:t>
      </w:r>
      <w:proofErr w:type="spellEnd"/>
      <w:r>
        <w:rPr>
          <w:b/>
        </w:rPr>
        <w:t>:</w:t>
      </w:r>
      <w:r>
        <w:rPr>
          <w:i/>
        </w:rPr>
        <w:t xml:space="preserve"> Human </w:t>
      </w:r>
      <w:proofErr w:type="spellStart"/>
      <w:r>
        <w:rPr>
          <w:i/>
        </w:rPr>
        <w:t>Uniprot</w:t>
      </w:r>
      <w:proofErr w:type="spellEnd"/>
      <w:r>
        <w:rPr>
          <w:i/>
        </w:rPr>
        <w:t xml:space="preserve"> function (Human CYP26B1):</w:t>
      </w:r>
      <w:r>
        <w:t xml:space="preserve"> Involved in the metabolism of retinoic acid (RA), rendering this classical morphogen inactive through oxidation (</w:t>
      </w:r>
      <w:proofErr w:type="spellStart"/>
      <w:r>
        <w:t>PubMed10823918</w:t>
      </w:r>
      <w:proofErr w:type="spellEnd"/>
      <w:r>
        <w:t xml:space="preserve">, </w:t>
      </w:r>
      <w:proofErr w:type="spellStart"/>
      <w:r>
        <w:t>PubMed22020119</w:t>
      </w:r>
      <w:proofErr w:type="spellEnd"/>
      <w:r>
        <w:t>). Involved in the specific inactivation of all-trans-retinoic acid (all-trans-RA), with a preference for the following substrates all-trans-RA &gt; 9-cis-RA &gt; 13-cis-RA (</w:t>
      </w:r>
      <w:proofErr w:type="spellStart"/>
      <w:r>
        <w:t>PubMed10823918</w:t>
      </w:r>
      <w:proofErr w:type="spellEnd"/>
      <w:r>
        <w:t xml:space="preserve">, </w:t>
      </w:r>
      <w:proofErr w:type="spellStart"/>
      <w:r>
        <w:t>PubMed22020119</w:t>
      </w:r>
      <w:proofErr w:type="spellEnd"/>
      <w:r>
        <w:t>). Generates several hydroxylated forms of RA, including 4-OH-RA, 4-oxo-RA, and 18-OH-RA (</w:t>
      </w:r>
      <w:proofErr w:type="spellStart"/>
      <w:r>
        <w:t>PubMed10823918</w:t>
      </w:r>
      <w:proofErr w:type="spellEnd"/>
      <w:r>
        <w:t xml:space="preserve">). Catalyzes the hydroxylation of carbon hydrogen bonds of </w:t>
      </w:r>
      <w:proofErr w:type="spellStart"/>
      <w:r>
        <w:t>atRA</w:t>
      </w:r>
      <w:proofErr w:type="spellEnd"/>
      <w:r>
        <w:t xml:space="preserve"> primarily at C-4 (</w:t>
      </w:r>
      <w:proofErr w:type="spellStart"/>
      <w:r>
        <w:t>PubMed10823918</w:t>
      </w:r>
      <w:proofErr w:type="spellEnd"/>
      <w:r>
        <w:t xml:space="preserve">, </w:t>
      </w:r>
      <w:proofErr w:type="spellStart"/>
      <w:r>
        <w:t>PubMed22020119</w:t>
      </w:r>
      <w:proofErr w:type="spellEnd"/>
      <w:r>
        <w:t xml:space="preserve">). Essential for postnatal survival (By similarity). Plays a central role in germ cell development acts by degrading RA in the developing testis, preventing STRA8 expression, thereby leading to delay of meiosis (By similarity). Required for the maintenance of the undifferentiated state of male germ cells during embryonic development in Sertoli cells, inducing arrest in </w:t>
      </w:r>
      <w:proofErr w:type="spellStart"/>
      <w:r>
        <w:t>G0</w:t>
      </w:r>
      <w:proofErr w:type="spellEnd"/>
      <w:r>
        <w:t xml:space="preserve"> phase of the cell cycle and preventing meiotic entry (By similarity). Plays a role in skeletal development, both at the level of patterning and in the ossification of bone and the establishment of some synovial joints (</w:t>
      </w:r>
      <w:proofErr w:type="spellStart"/>
      <w:r>
        <w:t>PubMed22019272</w:t>
      </w:r>
      <w:proofErr w:type="spellEnd"/>
      <w:r>
        <w:t>). {</w:t>
      </w:r>
      <w:proofErr w:type="spellStart"/>
      <w:r>
        <w:t>ECO0000250|UniProtKBQ811W2</w:t>
      </w:r>
      <w:proofErr w:type="spellEnd"/>
      <w:r>
        <w:t xml:space="preserve">, </w:t>
      </w:r>
      <w:proofErr w:type="spellStart"/>
      <w:r>
        <w:t>ECO0000269|PubMed10823918</w:t>
      </w:r>
      <w:proofErr w:type="spellEnd"/>
      <w:r>
        <w:t xml:space="preserve">, </w:t>
      </w:r>
      <w:proofErr w:type="spellStart"/>
      <w:r>
        <w:t>ECO0000269|PubMed22019272</w:t>
      </w:r>
      <w:proofErr w:type="spellEnd"/>
      <w:r>
        <w:t xml:space="preserve">, </w:t>
      </w:r>
      <w:proofErr w:type="spellStart"/>
      <w:r>
        <w:t>ECO0000269|PubMed22020119</w:t>
      </w:r>
      <w:proofErr w:type="spellEnd"/>
      <w:r>
        <w:t xml:space="preserve">}.; FUNCTION Has also a significant activity in oxidation of </w:t>
      </w:r>
      <w:proofErr w:type="spellStart"/>
      <w:r>
        <w:t>tazarotenic</w:t>
      </w:r>
      <w:proofErr w:type="spellEnd"/>
      <w:r>
        <w:t xml:space="preserve"> acid and may therefore metabolize that xenobiotic in vivo. {</w:t>
      </w:r>
      <w:proofErr w:type="spellStart"/>
      <w:r>
        <w:t>ECO0000269|PubMed26937021</w:t>
      </w:r>
      <w:proofErr w:type="spellEnd"/>
      <w:r>
        <w:t>}.</w:t>
      </w:r>
    </w:p>
    <w:p w14:paraId="7887F824" w14:textId="77777777" w:rsidR="004038D2" w:rsidRDefault="004038D2" w:rsidP="004038D2">
      <w:pPr>
        <w:pStyle w:val="bmdsTblFootnote"/>
      </w:pPr>
      <w:proofErr w:type="spellStart"/>
      <w:r>
        <w:rPr>
          <w:b/>
        </w:rPr>
        <w:t>Lilrb4</w:t>
      </w:r>
      <w:proofErr w:type="spellEnd"/>
      <w:r>
        <w:rPr>
          <w:b/>
        </w:rPr>
        <w:t>:</w:t>
      </w:r>
      <w:r>
        <w:rPr>
          <w:i/>
        </w:rPr>
        <w:t xml:space="preserve"> Human </w:t>
      </w:r>
      <w:proofErr w:type="spellStart"/>
      <w:r>
        <w:rPr>
          <w:i/>
        </w:rPr>
        <w:t>Uniprot</w:t>
      </w:r>
      <w:proofErr w:type="spellEnd"/>
      <w:r>
        <w:rPr>
          <w:i/>
        </w:rPr>
        <w:t xml:space="preserve"> function (Human LILRB4):</w:t>
      </w:r>
      <w:r>
        <w:t xml:space="preserve"> Receptor for class I MHC antigens. Recognizes a broad spectrum of HLA-A, HLA-B, HLA-C and HLA-G alleles. Involved in the </w:t>
      </w:r>
      <w:proofErr w:type="gramStart"/>
      <w:r>
        <w:t>down-regulation</w:t>
      </w:r>
      <w:proofErr w:type="gramEnd"/>
      <w:r>
        <w:t xml:space="preserve"> of the immune response and the development of tolerance, e.g. towards transplants. Interferes with TNFRSF5-signaling and NF-kappa-B up-regulation. Inhibits receptor-mediated phosphorylation of cellular proteins and mobilization of intracellular calcium ions. {</w:t>
      </w:r>
      <w:proofErr w:type="spellStart"/>
      <w:r>
        <w:t>ECO0000269|PubMed11875462</w:t>
      </w:r>
      <w:proofErr w:type="spellEnd"/>
      <w:r>
        <w:t xml:space="preserve">, </w:t>
      </w:r>
      <w:proofErr w:type="spellStart"/>
      <w:r>
        <w:t>ECO0000269|PubMed9151699</w:t>
      </w:r>
      <w:proofErr w:type="spellEnd"/>
      <w:r>
        <w:t>}.</w:t>
      </w:r>
    </w:p>
    <w:p w14:paraId="73E5215E" w14:textId="77777777" w:rsidR="00C505B6" w:rsidRDefault="00033D31"/>
    <w:sectPr w:rsidR="00C505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122"/>
    <w:rsid w:val="00033D31"/>
    <w:rsid w:val="0021102E"/>
    <w:rsid w:val="003D4122"/>
    <w:rsid w:val="004038D2"/>
    <w:rsid w:val="007A3CE6"/>
    <w:rsid w:val="00F50F55"/>
    <w:rsid w:val="00F568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11686"/>
  <w15:chartTrackingRefBased/>
  <w15:docId w15:val="{E19673DB-7FA8-490B-AC3C-3C1DD156F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38D2"/>
    <w:pPr>
      <w:spacing w:after="0" w:line="240" w:lineRule="auto"/>
    </w:pPr>
    <w:rPr>
      <w:sz w:val="24"/>
      <w:szCs w:val="24"/>
    </w:rPr>
  </w:style>
  <w:style w:type="paragraph" w:styleId="Heading3">
    <w:name w:val="heading 3"/>
    <w:basedOn w:val="Normal"/>
    <w:next w:val="Normal"/>
    <w:link w:val="Heading3Char"/>
    <w:uiPriority w:val="9"/>
    <w:semiHidden/>
    <w:unhideWhenUsed/>
    <w:qFormat/>
    <w:rsid w:val="004038D2"/>
    <w:pPr>
      <w:keepNext/>
      <w:keepLines/>
      <w:spacing w:before="40"/>
      <w:outlineLvl w:val="2"/>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4038D2"/>
    <w:rPr>
      <w:rFonts w:eastAsiaTheme="majorEastAsia" w:cstheme="majorBidi"/>
      <w:b/>
      <w:color w:val="000000" w:themeColor="text1"/>
      <w:sz w:val="24"/>
      <w:szCs w:val="24"/>
    </w:rPr>
  </w:style>
  <w:style w:type="character" w:styleId="Hyperlink">
    <w:name w:val="Hyperlink"/>
    <w:basedOn w:val="DefaultParagraphFont"/>
    <w:uiPriority w:val="99"/>
    <w:semiHidden/>
    <w:unhideWhenUsed/>
    <w:rsid w:val="004038D2"/>
    <w:rPr>
      <w:color w:val="0563C1" w:themeColor="hyperlink"/>
      <w:u w:val="single"/>
    </w:rPr>
  </w:style>
  <w:style w:type="paragraph" w:customStyle="1" w:styleId="bmdsTblBody">
    <w:name w:val="bmdsTblBody"/>
    <w:basedOn w:val="Normal"/>
    <w:qFormat/>
    <w:rsid w:val="004038D2"/>
    <w:rPr>
      <w:rFonts w:ascii="Times New Roman" w:hAnsi="Times New Roman"/>
      <w:sz w:val="18"/>
    </w:rPr>
  </w:style>
  <w:style w:type="paragraph" w:customStyle="1" w:styleId="bmdsTblFootnote">
    <w:name w:val="bmdsTblFootnote"/>
    <w:basedOn w:val="bmdsTblBody"/>
    <w:qFormat/>
    <w:rsid w:val="004038D2"/>
  </w:style>
  <w:style w:type="paragraph" w:customStyle="1" w:styleId="bmdsTblHeader">
    <w:name w:val="bmdsTblHeader"/>
    <w:basedOn w:val="bmdsTblBody"/>
    <w:qFormat/>
    <w:rsid w:val="004038D2"/>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142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ncbi.nlm.nih.gov/gen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niprot.org/uniprot/" TargetMode="External"/><Relationship Id="rId5" Type="http://schemas.openxmlformats.org/officeDocument/2006/relationships/hyperlink" Target="https://www.ncbi.nlm.nih.gov/gene/" TargetMode="External"/><Relationship Id="rId4" Type="http://schemas.openxmlformats.org/officeDocument/2006/relationships/hyperlink" Target="https://www.uniprot.org/uniprot/"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2506</Words>
  <Characters>14287</Characters>
  <Application>Microsoft Office Word</Application>
  <DocSecurity>0</DocSecurity>
  <Lines>119</Lines>
  <Paragraphs>33</Paragraphs>
  <ScaleCrop>false</ScaleCrop>
  <Company/>
  <LinksUpToDate>false</LinksUpToDate>
  <CharactersWithSpaces>16760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 Shihan (NIH/NIEHS) [C]</dc:creator>
  <cp:keywords/>
  <dc:description/>
  <cp:lastModifiedBy>He, Shihan (NIH/NIEHS) [C]</cp:lastModifiedBy>
  <cp:revision>5</cp:revision>
  <dcterms:created xsi:type="dcterms:W3CDTF">2021-05-25T22:07:00Z</dcterms:created>
  <dcterms:modified xsi:type="dcterms:W3CDTF">2021-07-26T20:10:00Z</dcterms:modified>
</cp:coreProperties>
</file>