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0B5AF" w14:textId="77777777" w:rsidR="008E0426" w:rsidRDefault="008E0426" w:rsidP="008E0426">
      <w:pPr>
        <w:pStyle w:val="Heading3"/>
      </w:pPr>
      <w:r>
        <w:t>Male Liver Top 10 Genes Ranked by Potency of Perturbation (Sorted by BMD Median)</w:t>
      </w:r>
    </w:p>
    <w:tbl>
      <w:tblPr>
        <w:tblW w:w="0" w:type="auto"/>
        <w:tblLook w:val="04A0" w:firstRow="1" w:lastRow="0" w:firstColumn="1" w:lastColumn="0" w:noHBand="0" w:noVBand="1"/>
      </w:tblPr>
      <w:tblGrid>
        <w:gridCol w:w="2134"/>
        <w:gridCol w:w="1325"/>
        <w:gridCol w:w="1670"/>
        <w:gridCol w:w="1394"/>
        <w:gridCol w:w="1396"/>
        <w:gridCol w:w="1441"/>
      </w:tblGrid>
      <w:tr w:rsidR="008E0426" w14:paraId="398FE71F" w14:textId="77777777" w:rsidTr="008E0426">
        <w:tc>
          <w:tcPr>
            <w:tcW w:w="2134" w:type="dxa"/>
            <w:tcBorders>
              <w:top w:val="single" w:sz="2" w:space="0" w:color="000000"/>
              <w:left w:val="nil"/>
              <w:bottom w:val="single" w:sz="2" w:space="0" w:color="000000"/>
              <w:right w:val="nil"/>
            </w:tcBorders>
            <w:vAlign w:val="center"/>
            <w:hideMark/>
          </w:tcPr>
          <w:p w14:paraId="20C6E726" w14:textId="77777777" w:rsidR="008E0426" w:rsidRDefault="008E0426">
            <w:pPr>
              <w:pStyle w:val="bmdsTblBody"/>
            </w:pPr>
            <w:r>
              <w:rPr>
                <w:b/>
              </w:rPr>
              <w:t>Gene Symbol</w:t>
            </w:r>
          </w:p>
        </w:tc>
        <w:tc>
          <w:tcPr>
            <w:tcW w:w="1325" w:type="dxa"/>
            <w:tcBorders>
              <w:top w:val="single" w:sz="2" w:space="0" w:color="000000"/>
              <w:left w:val="nil"/>
              <w:bottom w:val="single" w:sz="2" w:space="0" w:color="000000"/>
              <w:right w:val="nil"/>
            </w:tcBorders>
            <w:vAlign w:val="center"/>
            <w:hideMark/>
          </w:tcPr>
          <w:p w14:paraId="099E57ED" w14:textId="77777777" w:rsidR="008E0426" w:rsidRDefault="008E0426">
            <w:pPr>
              <w:pStyle w:val="bmdsTblHeader"/>
              <w:jc w:val="center"/>
            </w:pPr>
            <w:r>
              <w:t>Entrez Gene IDs</w:t>
            </w:r>
          </w:p>
        </w:tc>
        <w:tc>
          <w:tcPr>
            <w:tcW w:w="1670" w:type="dxa"/>
            <w:tcBorders>
              <w:top w:val="single" w:sz="2" w:space="0" w:color="000000"/>
              <w:left w:val="nil"/>
              <w:bottom w:val="single" w:sz="2" w:space="0" w:color="000000"/>
              <w:right w:val="nil"/>
            </w:tcBorders>
            <w:vAlign w:val="center"/>
            <w:hideMark/>
          </w:tcPr>
          <w:p w14:paraId="1A9FDEA4" w14:textId="77777777" w:rsidR="008E0426" w:rsidRDefault="008E0426">
            <w:pPr>
              <w:pStyle w:val="bmdsTblHeader"/>
              <w:jc w:val="center"/>
            </w:pPr>
            <w:r>
              <w:t>Probe IDs</w:t>
            </w:r>
          </w:p>
        </w:tc>
        <w:tc>
          <w:tcPr>
            <w:tcW w:w="1394" w:type="dxa"/>
            <w:tcBorders>
              <w:top w:val="single" w:sz="2" w:space="0" w:color="000000"/>
              <w:left w:val="nil"/>
              <w:bottom w:val="single" w:sz="2" w:space="0" w:color="000000"/>
              <w:right w:val="nil"/>
            </w:tcBorders>
            <w:vAlign w:val="center"/>
            <w:hideMark/>
          </w:tcPr>
          <w:p w14:paraId="022CEE42" w14:textId="77777777" w:rsidR="008E0426" w:rsidRDefault="008E0426">
            <w:pPr>
              <w:pStyle w:val="bmdsTblHeader"/>
              <w:jc w:val="center"/>
            </w:pPr>
            <w:proofErr w:type="spellStart"/>
            <w:r>
              <w:t>BMD</w:t>
            </w:r>
            <w:r>
              <w:rPr>
                <w:sz w:val="16"/>
                <w:vertAlign w:val="subscript"/>
              </w:rPr>
              <w:t>1Std</w:t>
            </w:r>
            <w:proofErr w:type="spellEnd"/>
            <w:r>
              <w:t xml:space="preserve"> (</w:t>
            </w:r>
            <w:proofErr w:type="spellStart"/>
            <w:r>
              <w:t>BMD</w:t>
            </w:r>
            <w:r>
              <w:rPr>
                <w:vertAlign w:val="subscript"/>
              </w:rPr>
              <w:t>L</w:t>
            </w:r>
            <w:r>
              <w:rPr>
                <w:sz w:val="16"/>
                <w:vertAlign w:val="subscript"/>
              </w:rPr>
              <w:t>1std</w:t>
            </w:r>
            <w:r>
              <w:t>-BMD</w:t>
            </w:r>
            <w:r>
              <w:rPr>
                <w:vertAlign w:val="subscript"/>
              </w:rPr>
              <w:t>U1std</w:t>
            </w:r>
            <w:proofErr w:type="spellEnd"/>
            <w:r>
              <w:t>) in mg/kg</w:t>
            </w:r>
          </w:p>
        </w:tc>
        <w:tc>
          <w:tcPr>
            <w:tcW w:w="1396" w:type="dxa"/>
            <w:tcBorders>
              <w:top w:val="single" w:sz="2" w:space="0" w:color="000000"/>
              <w:left w:val="nil"/>
              <w:bottom w:val="single" w:sz="2" w:space="0" w:color="000000"/>
              <w:right w:val="nil"/>
            </w:tcBorders>
            <w:vAlign w:val="center"/>
            <w:hideMark/>
          </w:tcPr>
          <w:p w14:paraId="10BD01B1" w14:textId="77777777" w:rsidR="008E0426" w:rsidRDefault="008E0426">
            <w:pPr>
              <w:pStyle w:val="bmdsTblHeader"/>
              <w:jc w:val="center"/>
            </w:pPr>
            <w:r>
              <w:t>Maximum Fold Change</w:t>
            </w:r>
          </w:p>
        </w:tc>
        <w:tc>
          <w:tcPr>
            <w:tcW w:w="1441" w:type="dxa"/>
            <w:tcBorders>
              <w:top w:val="single" w:sz="2" w:space="0" w:color="000000"/>
              <w:left w:val="nil"/>
              <w:bottom w:val="single" w:sz="2" w:space="0" w:color="000000"/>
              <w:right w:val="nil"/>
            </w:tcBorders>
            <w:vAlign w:val="center"/>
            <w:hideMark/>
          </w:tcPr>
          <w:p w14:paraId="3DF6A11F" w14:textId="77777777" w:rsidR="008E0426" w:rsidRDefault="008E0426">
            <w:pPr>
              <w:pStyle w:val="bmdsTblHeader"/>
              <w:jc w:val="center"/>
            </w:pPr>
            <w:r>
              <w:t>Direction of Expression Change</w:t>
            </w:r>
          </w:p>
        </w:tc>
      </w:tr>
      <w:tr w:rsidR="008E0426" w14:paraId="1F66BF12" w14:textId="77777777" w:rsidTr="008E0426">
        <w:tc>
          <w:tcPr>
            <w:tcW w:w="2134" w:type="dxa"/>
            <w:vAlign w:val="center"/>
            <w:hideMark/>
          </w:tcPr>
          <w:p w14:paraId="60A26754" w14:textId="77777777" w:rsidR="008E0426" w:rsidRDefault="008E0426">
            <w:pPr>
              <w:pStyle w:val="bmdsTblBody"/>
            </w:pPr>
            <w:proofErr w:type="spellStart"/>
            <w:r>
              <w:rPr>
                <w:b/>
              </w:rPr>
              <w:t>pck1</w:t>
            </w:r>
            <w:proofErr w:type="spellEnd"/>
          </w:p>
        </w:tc>
        <w:tc>
          <w:tcPr>
            <w:tcW w:w="1325" w:type="dxa"/>
            <w:vAlign w:val="center"/>
            <w:hideMark/>
          </w:tcPr>
          <w:p w14:paraId="5162DDE7" w14:textId="77777777" w:rsidR="008E0426" w:rsidRDefault="008E0426">
            <w:pPr>
              <w:pStyle w:val="bmdsTblBody"/>
              <w:jc w:val="center"/>
            </w:pPr>
            <w:r>
              <w:rPr>
                <w:sz w:val="16"/>
              </w:rPr>
              <w:t>362282</w:t>
            </w:r>
          </w:p>
        </w:tc>
        <w:tc>
          <w:tcPr>
            <w:tcW w:w="1670" w:type="dxa"/>
            <w:vAlign w:val="center"/>
            <w:hideMark/>
          </w:tcPr>
          <w:p w14:paraId="58E7BF55" w14:textId="77777777" w:rsidR="008E0426" w:rsidRDefault="008E0426">
            <w:pPr>
              <w:pStyle w:val="bmdsTblBody"/>
              <w:jc w:val="center"/>
            </w:pPr>
            <w:r>
              <w:rPr>
                <w:sz w:val="16"/>
              </w:rPr>
              <w:t>PCK1_9439</w:t>
            </w:r>
          </w:p>
        </w:tc>
        <w:tc>
          <w:tcPr>
            <w:tcW w:w="1394" w:type="dxa"/>
            <w:vAlign w:val="center"/>
            <w:hideMark/>
          </w:tcPr>
          <w:p w14:paraId="4DA4069B" w14:textId="77777777" w:rsidR="008E0426" w:rsidRDefault="008E0426">
            <w:pPr>
              <w:pStyle w:val="bmdsTblBody"/>
              <w:jc w:val="center"/>
            </w:pPr>
            <w:r>
              <w:rPr>
                <w:sz w:val="16"/>
              </w:rPr>
              <w:t>1.149 (0.548-2.562)</w:t>
            </w:r>
          </w:p>
        </w:tc>
        <w:tc>
          <w:tcPr>
            <w:tcW w:w="1396" w:type="dxa"/>
            <w:vAlign w:val="center"/>
            <w:hideMark/>
          </w:tcPr>
          <w:p w14:paraId="289E4346" w14:textId="77777777" w:rsidR="008E0426" w:rsidRDefault="008E0426">
            <w:pPr>
              <w:pStyle w:val="bmdsTblBody"/>
              <w:jc w:val="center"/>
            </w:pPr>
            <w:r>
              <w:rPr>
                <w:sz w:val="16"/>
              </w:rPr>
              <w:t>2.7</w:t>
            </w:r>
          </w:p>
        </w:tc>
        <w:tc>
          <w:tcPr>
            <w:tcW w:w="1441" w:type="dxa"/>
            <w:vAlign w:val="center"/>
            <w:hideMark/>
          </w:tcPr>
          <w:p w14:paraId="5A879B89" w14:textId="77777777" w:rsidR="008E0426" w:rsidRDefault="008E0426">
            <w:pPr>
              <w:pStyle w:val="bmdsTblBody"/>
              <w:jc w:val="center"/>
            </w:pPr>
            <w:r>
              <w:rPr>
                <w:sz w:val="16"/>
              </w:rPr>
              <w:t>DOWN</w:t>
            </w:r>
          </w:p>
        </w:tc>
      </w:tr>
      <w:tr w:rsidR="008E0426" w14:paraId="7EAE2C5C" w14:textId="77777777" w:rsidTr="008E0426">
        <w:tc>
          <w:tcPr>
            <w:tcW w:w="2134" w:type="dxa"/>
            <w:vAlign w:val="center"/>
            <w:hideMark/>
          </w:tcPr>
          <w:p w14:paraId="43BCE962" w14:textId="77777777" w:rsidR="008E0426" w:rsidRDefault="008E0426">
            <w:pPr>
              <w:pStyle w:val="bmdsTblBody"/>
            </w:pPr>
            <w:proofErr w:type="spellStart"/>
            <w:r>
              <w:rPr>
                <w:b/>
              </w:rPr>
              <w:t>a2m</w:t>
            </w:r>
            <w:proofErr w:type="spellEnd"/>
          </w:p>
        </w:tc>
        <w:tc>
          <w:tcPr>
            <w:tcW w:w="1325" w:type="dxa"/>
            <w:vAlign w:val="center"/>
            <w:hideMark/>
          </w:tcPr>
          <w:p w14:paraId="41523842" w14:textId="77777777" w:rsidR="008E0426" w:rsidRDefault="008E0426">
            <w:pPr>
              <w:pStyle w:val="bmdsTblBody"/>
              <w:jc w:val="center"/>
            </w:pPr>
            <w:r>
              <w:rPr>
                <w:sz w:val="16"/>
              </w:rPr>
              <w:t>24153</w:t>
            </w:r>
          </w:p>
        </w:tc>
        <w:tc>
          <w:tcPr>
            <w:tcW w:w="1670" w:type="dxa"/>
            <w:vAlign w:val="center"/>
            <w:hideMark/>
          </w:tcPr>
          <w:p w14:paraId="0A4505C9" w14:textId="77777777" w:rsidR="008E0426" w:rsidRDefault="008E0426">
            <w:pPr>
              <w:pStyle w:val="bmdsTblBody"/>
              <w:jc w:val="center"/>
            </w:pPr>
            <w:r>
              <w:rPr>
                <w:sz w:val="16"/>
              </w:rPr>
              <w:t>A2M_7932</w:t>
            </w:r>
          </w:p>
        </w:tc>
        <w:tc>
          <w:tcPr>
            <w:tcW w:w="1394" w:type="dxa"/>
            <w:vAlign w:val="center"/>
            <w:hideMark/>
          </w:tcPr>
          <w:p w14:paraId="14FBA047" w14:textId="77777777" w:rsidR="008E0426" w:rsidRDefault="008E0426">
            <w:pPr>
              <w:pStyle w:val="bmdsTblBody"/>
              <w:jc w:val="center"/>
            </w:pPr>
            <w:r>
              <w:rPr>
                <w:sz w:val="16"/>
              </w:rPr>
              <w:t>1.733 (0.972-3.497)</w:t>
            </w:r>
          </w:p>
        </w:tc>
        <w:tc>
          <w:tcPr>
            <w:tcW w:w="1396" w:type="dxa"/>
            <w:vAlign w:val="center"/>
            <w:hideMark/>
          </w:tcPr>
          <w:p w14:paraId="1440765F" w14:textId="77777777" w:rsidR="008E0426" w:rsidRDefault="008E0426">
            <w:pPr>
              <w:pStyle w:val="bmdsTblBody"/>
              <w:jc w:val="center"/>
            </w:pPr>
            <w:r>
              <w:rPr>
                <w:sz w:val="16"/>
              </w:rPr>
              <w:t>3.0</w:t>
            </w:r>
          </w:p>
        </w:tc>
        <w:tc>
          <w:tcPr>
            <w:tcW w:w="1441" w:type="dxa"/>
            <w:vAlign w:val="center"/>
            <w:hideMark/>
          </w:tcPr>
          <w:p w14:paraId="0809E54B" w14:textId="77777777" w:rsidR="008E0426" w:rsidRDefault="008E0426">
            <w:pPr>
              <w:pStyle w:val="bmdsTblBody"/>
              <w:jc w:val="center"/>
            </w:pPr>
            <w:r>
              <w:rPr>
                <w:sz w:val="16"/>
              </w:rPr>
              <w:t>DOWN</w:t>
            </w:r>
          </w:p>
        </w:tc>
      </w:tr>
      <w:tr w:rsidR="008E0426" w14:paraId="2173CB09" w14:textId="77777777" w:rsidTr="008E0426">
        <w:tc>
          <w:tcPr>
            <w:tcW w:w="2134" w:type="dxa"/>
            <w:vAlign w:val="center"/>
            <w:hideMark/>
          </w:tcPr>
          <w:p w14:paraId="7AE8B583" w14:textId="77777777" w:rsidR="008E0426" w:rsidRDefault="008E0426">
            <w:pPr>
              <w:pStyle w:val="bmdsTblBody"/>
            </w:pPr>
            <w:proofErr w:type="spellStart"/>
            <w:r>
              <w:rPr>
                <w:b/>
              </w:rPr>
              <w:t>loc100911545</w:t>
            </w:r>
            <w:proofErr w:type="spellEnd"/>
          </w:p>
        </w:tc>
        <w:tc>
          <w:tcPr>
            <w:tcW w:w="1325" w:type="dxa"/>
            <w:vAlign w:val="center"/>
            <w:hideMark/>
          </w:tcPr>
          <w:p w14:paraId="4C88589A" w14:textId="77777777" w:rsidR="008E0426" w:rsidRDefault="008E0426">
            <w:pPr>
              <w:pStyle w:val="bmdsTblBody"/>
              <w:jc w:val="center"/>
            </w:pPr>
            <w:r>
              <w:rPr>
                <w:sz w:val="16"/>
              </w:rPr>
              <w:t>100911545</w:t>
            </w:r>
          </w:p>
        </w:tc>
        <w:tc>
          <w:tcPr>
            <w:tcW w:w="1670" w:type="dxa"/>
            <w:vAlign w:val="center"/>
            <w:hideMark/>
          </w:tcPr>
          <w:p w14:paraId="25BBE915" w14:textId="77777777" w:rsidR="008E0426" w:rsidRDefault="008E0426">
            <w:pPr>
              <w:pStyle w:val="bmdsTblBody"/>
              <w:jc w:val="center"/>
            </w:pPr>
            <w:r>
              <w:rPr>
                <w:sz w:val="16"/>
              </w:rPr>
              <w:t>A2M_7932</w:t>
            </w:r>
          </w:p>
        </w:tc>
        <w:tc>
          <w:tcPr>
            <w:tcW w:w="1394" w:type="dxa"/>
            <w:vAlign w:val="center"/>
            <w:hideMark/>
          </w:tcPr>
          <w:p w14:paraId="34E99C01" w14:textId="77777777" w:rsidR="008E0426" w:rsidRDefault="008E0426">
            <w:pPr>
              <w:pStyle w:val="bmdsTblBody"/>
              <w:jc w:val="center"/>
            </w:pPr>
            <w:r>
              <w:rPr>
                <w:sz w:val="16"/>
              </w:rPr>
              <w:t>1.733 (0.972-3.497)</w:t>
            </w:r>
          </w:p>
        </w:tc>
        <w:tc>
          <w:tcPr>
            <w:tcW w:w="1396" w:type="dxa"/>
            <w:vAlign w:val="center"/>
            <w:hideMark/>
          </w:tcPr>
          <w:p w14:paraId="01128FE2" w14:textId="77777777" w:rsidR="008E0426" w:rsidRDefault="008E0426">
            <w:pPr>
              <w:pStyle w:val="bmdsTblBody"/>
              <w:jc w:val="center"/>
            </w:pPr>
            <w:r>
              <w:rPr>
                <w:sz w:val="16"/>
              </w:rPr>
              <w:t>3.0</w:t>
            </w:r>
          </w:p>
        </w:tc>
        <w:tc>
          <w:tcPr>
            <w:tcW w:w="1441" w:type="dxa"/>
            <w:vAlign w:val="center"/>
            <w:hideMark/>
          </w:tcPr>
          <w:p w14:paraId="40268973" w14:textId="77777777" w:rsidR="008E0426" w:rsidRDefault="008E0426">
            <w:pPr>
              <w:pStyle w:val="bmdsTblBody"/>
              <w:jc w:val="center"/>
            </w:pPr>
            <w:r>
              <w:rPr>
                <w:sz w:val="16"/>
              </w:rPr>
              <w:t>DOWN</w:t>
            </w:r>
          </w:p>
        </w:tc>
      </w:tr>
      <w:tr w:rsidR="008E0426" w14:paraId="15D3E4BC" w14:textId="77777777" w:rsidTr="008E0426">
        <w:tc>
          <w:tcPr>
            <w:tcW w:w="2134" w:type="dxa"/>
            <w:vAlign w:val="center"/>
            <w:hideMark/>
          </w:tcPr>
          <w:p w14:paraId="7240D76E" w14:textId="77777777" w:rsidR="008E0426" w:rsidRDefault="008E0426">
            <w:pPr>
              <w:pStyle w:val="bmdsTblBody"/>
            </w:pPr>
            <w:proofErr w:type="spellStart"/>
            <w:r>
              <w:rPr>
                <w:b/>
              </w:rPr>
              <w:t>zfp354a</w:t>
            </w:r>
            <w:proofErr w:type="spellEnd"/>
          </w:p>
        </w:tc>
        <w:tc>
          <w:tcPr>
            <w:tcW w:w="1325" w:type="dxa"/>
            <w:vAlign w:val="center"/>
            <w:hideMark/>
          </w:tcPr>
          <w:p w14:paraId="3C959BE2" w14:textId="77777777" w:rsidR="008E0426" w:rsidRDefault="008E0426">
            <w:pPr>
              <w:pStyle w:val="bmdsTblBody"/>
              <w:jc w:val="center"/>
            </w:pPr>
            <w:r>
              <w:rPr>
                <w:sz w:val="16"/>
              </w:rPr>
              <w:t>24522</w:t>
            </w:r>
          </w:p>
        </w:tc>
        <w:tc>
          <w:tcPr>
            <w:tcW w:w="1670" w:type="dxa"/>
            <w:vAlign w:val="center"/>
            <w:hideMark/>
          </w:tcPr>
          <w:p w14:paraId="528A0FEE" w14:textId="77777777" w:rsidR="008E0426" w:rsidRDefault="008E0426">
            <w:pPr>
              <w:pStyle w:val="bmdsTblBody"/>
              <w:jc w:val="center"/>
            </w:pPr>
            <w:r>
              <w:rPr>
                <w:sz w:val="16"/>
              </w:rPr>
              <w:t>ZFP354A_10203</w:t>
            </w:r>
          </w:p>
        </w:tc>
        <w:tc>
          <w:tcPr>
            <w:tcW w:w="1394" w:type="dxa"/>
            <w:vAlign w:val="center"/>
            <w:hideMark/>
          </w:tcPr>
          <w:p w14:paraId="15920DB5" w14:textId="77777777" w:rsidR="008E0426" w:rsidRDefault="008E0426">
            <w:pPr>
              <w:pStyle w:val="bmdsTblBody"/>
              <w:jc w:val="center"/>
            </w:pPr>
            <w:r>
              <w:rPr>
                <w:sz w:val="16"/>
              </w:rPr>
              <w:t>1.785 (0.579-5.737)</w:t>
            </w:r>
          </w:p>
        </w:tc>
        <w:tc>
          <w:tcPr>
            <w:tcW w:w="1396" w:type="dxa"/>
            <w:vAlign w:val="center"/>
            <w:hideMark/>
          </w:tcPr>
          <w:p w14:paraId="1F248FFA" w14:textId="77777777" w:rsidR="008E0426" w:rsidRDefault="008E0426">
            <w:pPr>
              <w:pStyle w:val="bmdsTblBody"/>
              <w:jc w:val="center"/>
            </w:pPr>
            <w:r>
              <w:rPr>
                <w:sz w:val="16"/>
              </w:rPr>
              <w:t>3.6</w:t>
            </w:r>
          </w:p>
        </w:tc>
        <w:tc>
          <w:tcPr>
            <w:tcW w:w="1441" w:type="dxa"/>
            <w:vAlign w:val="center"/>
            <w:hideMark/>
          </w:tcPr>
          <w:p w14:paraId="58B43EA3" w14:textId="77777777" w:rsidR="008E0426" w:rsidRDefault="008E0426">
            <w:pPr>
              <w:pStyle w:val="bmdsTblBody"/>
              <w:jc w:val="center"/>
            </w:pPr>
            <w:r>
              <w:rPr>
                <w:sz w:val="16"/>
              </w:rPr>
              <w:t>DOWN</w:t>
            </w:r>
          </w:p>
        </w:tc>
      </w:tr>
      <w:tr w:rsidR="008E0426" w14:paraId="73919C9F" w14:textId="77777777" w:rsidTr="008E0426">
        <w:tc>
          <w:tcPr>
            <w:tcW w:w="2134" w:type="dxa"/>
            <w:vAlign w:val="center"/>
            <w:hideMark/>
          </w:tcPr>
          <w:p w14:paraId="7CFABAE3" w14:textId="77777777" w:rsidR="008E0426" w:rsidRDefault="008E0426">
            <w:pPr>
              <w:pStyle w:val="bmdsTblBody"/>
            </w:pPr>
            <w:proofErr w:type="spellStart"/>
            <w:r>
              <w:rPr>
                <w:b/>
              </w:rPr>
              <w:t>akr7a3</w:t>
            </w:r>
            <w:proofErr w:type="spellEnd"/>
          </w:p>
        </w:tc>
        <w:tc>
          <w:tcPr>
            <w:tcW w:w="1325" w:type="dxa"/>
            <w:vAlign w:val="center"/>
            <w:hideMark/>
          </w:tcPr>
          <w:p w14:paraId="39E09851" w14:textId="77777777" w:rsidR="008E0426" w:rsidRDefault="008E0426">
            <w:pPr>
              <w:pStyle w:val="bmdsTblBody"/>
              <w:jc w:val="center"/>
            </w:pPr>
            <w:r>
              <w:rPr>
                <w:sz w:val="16"/>
              </w:rPr>
              <w:t>26760</w:t>
            </w:r>
          </w:p>
        </w:tc>
        <w:tc>
          <w:tcPr>
            <w:tcW w:w="1670" w:type="dxa"/>
            <w:vAlign w:val="center"/>
            <w:hideMark/>
          </w:tcPr>
          <w:p w14:paraId="78402D05" w14:textId="77777777" w:rsidR="008E0426" w:rsidRDefault="008E0426">
            <w:pPr>
              <w:pStyle w:val="bmdsTblBody"/>
              <w:jc w:val="center"/>
            </w:pPr>
            <w:r>
              <w:rPr>
                <w:sz w:val="16"/>
              </w:rPr>
              <w:t>AKR7A3_8015</w:t>
            </w:r>
          </w:p>
        </w:tc>
        <w:tc>
          <w:tcPr>
            <w:tcW w:w="1394" w:type="dxa"/>
            <w:vAlign w:val="center"/>
            <w:hideMark/>
          </w:tcPr>
          <w:p w14:paraId="510C119A" w14:textId="77777777" w:rsidR="008E0426" w:rsidRDefault="008E0426">
            <w:pPr>
              <w:pStyle w:val="bmdsTblBody"/>
              <w:jc w:val="center"/>
            </w:pPr>
            <w:r>
              <w:rPr>
                <w:sz w:val="16"/>
              </w:rPr>
              <w:t>2.192 (1.593-3.715)</w:t>
            </w:r>
          </w:p>
        </w:tc>
        <w:tc>
          <w:tcPr>
            <w:tcW w:w="1396" w:type="dxa"/>
            <w:vAlign w:val="center"/>
            <w:hideMark/>
          </w:tcPr>
          <w:p w14:paraId="570C134A" w14:textId="77777777" w:rsidR="008E0426" w:rsidRDefault="008E0426">
            <w:pPr>
              <w:pStyle w:val="bmdsTblBody"/>
              <w:jc w:val="center"/>
            </w:pPr>
            <w:r>
              <w:rPr>
                <w:sz w:val="16"/>
              </w:rPr>
              <w:t>9.5</w:t>
            </w:r>
          </w:p>
        </w:tc>
        <w:tc>
          <w:tcPr>
            <w:tcW w:w="1441" w:type="dxa"/>
            <w:vAlign w:val="center"/>
            <w:hideMark/>
          </w:tcPr>
          <w:p w14:paraId="054CEFA1" w14:textId="77777777" w:rsidR="008E0426" w:rsidRDefault="008E0426">
            <w:pPr>
              <w:pStyle w:val="bmdsTblBody"/>
              <w:jc w:val="center"/>
            </w:pPr>
            <w:r>
              <w:rPr>
                <w:sz w:val="16"/>
              </w:rPr>
              <w:t>UP</w:t>
            </w:r>
          </w:p>
        </w:tc>
      </w:tr>
      <w:tr w:rsidR="008E0426" w14:paraId="5B75E15A" w14:textId="77777777" w:rsidTr="008E0426">
        <w:tc>
          <w:tcPr>
            <w:tcW w:w="2134" w:type="dxa"/>
            <w:vAlign w:val="center"/>
            <w:hideMark/>
          </w:tcPr>
          <w:p w14:paraId="34327540" w14:textId="77777777" w:rsidR="008E0426" w:rsidRDefault="008E0426">
            <w:pPr>
              <w:pStyle w:val="bmdsTblBody"/>
            </w:pPr>
            <w:proofErr w:type="spellStart"/>
            <w:r>
              <w:rPr>
                <w:b/>
              </w:rPr>
              <w:t>ephx1</w:t>
            </w:r>
            <w:proofErr w:type="spellEnd"/>
          </w:p>
        </w:tc>
        <w:tc>
          <w:tcPr>
            <w:tcW w:w="1325" w:type="dxa"/>
            <w:vAlign w:val="center"/>
            <w:hideMark/>
          </w:tcPr>
          <w:p w14:paraId="0EC8EAE6" w14:textId="77777777" w:rsidR="008E0426" w:rsidRDefault="008E0426">
            <w:pPr>
              <w:pStyle w:val="bmdsTblBody"/>
              <w:jc w:val="center"/>
            </w:pPr>
            <w:r>
              <w:rPr>
                <w:sz w:val="16"/>
              </w:rPr>
              <w:t>25315</w:t>
            </w:r>
          </w:p>
        </w:tc>
        <w:tc>
          <w:tcPr>
            <w:tcW w:w="1670" w:type="dxa"/>
            <w:vAlign w:val="center"/>
            <w:hideMark/>
          </w:tcPr>
          <w:p w14:paraId="4CE83A71" w14:textId="77777777" w:rsidR="008E0426" w:rsidRDefault="008E0426">
            <w:pPr>
              <w:pStyle w:val="bmdsTblBody"/>
              <w:jc w:val="center"/>
            </w:pPr>
            <w:r>
              <w:rPr>
                <w:sz w:val="16"/>
              </w:rPr>
              <w:t>EPHX1_8567</w:t>
            </w:r>
          </w:p>
        </w:tc>
        <w:tc>
          <w:tcPr>
            <w:tcW w:w="1394" w:type="dxa"/>
            <w:vAlign w:val="center"/>
            <w:hideMark/>
          </w:tcPr>
          <w:p w14:paraId="0416E66F" w14:textId="77777777" w:rsidR="008E0426" w:rsidRDefault="008E0426">
            <w:pPr>
              <w:pStyle w:val="bmdsTblBody"/>
              <w:jc w:val="center"/>
            </w:pPr>
            <w:r>
              <w:rPr>
                <w:sz w:val="16"/>
              </w:rPr>
              <w:t>2.467 (1.828-4.041)</w:t>
            </w:r>
          </w:p>
        </w:tc>
        <w:tc>
          <w:tcPr>
            <w:tcW w:w="1396" w:type="dxa"/>
            <w:vAlign w:val="center"/>
            <w:hideMark/>
          </w:tcPr>
          <w:p w14:paraId="7D92DA95" w14:textId="77777777" w:rsidR="008E0426" w:rsidRDefault="008E0426">
            <w:pPr>
              <w:pStyle w:val="bmdsTblBody"/>
              <w:jc w:val="center"/>
            </w:pPr>
            <w:r>
              <w:rPr>
                <w:sz w:val="16"/>
              </w:rPr>
              <w:t>5.6</w:t>
            </w:r>
          </w:p>
        </w:tc>
        <w:tc>
          <w:tcPr>
            <w:tcW w:w="1441" w:type="dxa"/>
            <w:vAlign w:val="center"/>
            <w:hideMark/>
          </w:tcPr>
          <w:p w14:paraId="05D8710E" w14:textId="77777777" w:rsidR="008E0426" w:rsidRDefault="008E0426">
            <w:pPr>
              <w:pStyle w:val="bmdsTblBody"/>
              <w:jc w:val="center"/>
            </w:pPr>
            <w:r>
              <w:rPr>
                <w:sz w:val="16"/>
              </w:rPr>
              <w:t>UP</w:t>
            </w:r>
          </w:p>
        </w:tc>
      </w:tr>
      <w:tr w:rsidR="008E0426" w14:paraId="0F1CB64D" w14:textId="77777777" w:rsidTr="008E0426">
        <w:tc>
          <w:tcPr>
            <w:tcW w:w="2134" w:type="dxa"/>
            <w:vAlign w:val="center"/>
            <w:hideMark/>
          </w:tcPr>
          <w:p w14:paraId="54532D89" w14:textId="77777777" w:rsidR="008E0426" w:rsidRDefault="008E0426">
            <w:pPr>
              <w:pStyle w:val="bmdsTblBody"/>
            </w:pPr>
            <w:proofErr w:type="spellStart"/>
            <w:r>
              <w:rPr>
                <w:b/>
              </w:rPr>
              <w:t>me1</w:t>
            </w:r>
            <w:proofErr w:type="spellEnd"/>
          </w:p>
        </w:tc>
        <w:tc>
          <w:tcPr>
            <w:tcW w:w="1325" w:type="dxa"/>
            <w:vAlign w:val="center"/>
            <w:hideMark/>
          </w:tcPr>
          <w:p w14:paraId="1606B391" w14:textId="77777777" w:rsidR="008E0426" w:rsidRDefault="008E0426">
            <w:pPr>
              <w:pStyle w:val="bmdsTblBody"/>
              <w:jc w:val="center"/>
            </w:pPr>
            <w:r>
              <w:rPr>
                <w:sz w:val="16"/>
              </w:rPr>
              <w:t>24552</w:t>
            </w:r>
          </w:p>
        </w:tc>
        <w:tc>
          <w:tcPr>
            <w:tcW w:w="1670" w:type="dxa"/>
            <w:vAlign w:val="center"/>
            <w:hideMark/>
          </w:tcPr>
          <w:p w14:paraId="1A239081" w14:textId="77777777" w:rsidR="008E0426" w:rsidRDefault="008E0426">
            <w:pPr>
              <w:pStyle w:val="bmdsTblBody"/>
              <w:jc w:val="center"/>
            </w:pPr>
            <w:r>
              <w:rPr>
                <w:sz w:val="16"/>
              </w:rPr>
              <w:t>ME1_9215</w:t>
            </w:r>
          </w:p>
        </w:tc>
        <w:tc>
          <w:tcPr>
            <w:tcW w:w="1394" w:type="dxa"/>
            <w:vAlign w:val="center"/>
            <w:hideMark/>
          </w:tcPr>
          <w:p w14:paraId="616B5BA2" w14:textId="77777777" w:rsidR="008E0426" w:rsidRDefault="008E0426">
            <w:pPr>
              <w:pStyle w:val="bmdsTblBody"/>
              <w:jc w:val="center"/>
            </w:pPr>
            <w:r>
              <w:rPr>
                <w:sz w:val="16"/>
              </w:rPr>
              <w:t>3.531 (2.076-6.794)</w:t>
            </w:r>
          </w:p>
        </w:tc>
        <w:tc>
          <w:tcPr>
            <w:tcW w:w="1396" w:type="dxa"/>
            <w:vAlign w:val="center"/>
            <w:hideMark/>
          </w:tcPr>
          <w:p w14:paraId="6EA74D96" w14:textId="77777777" w:rsidR="008E0426" w:rsidRDefault="008E0426">
            <w:pPr>
              <w:pStyle w:val="bmdsTblBody"/>
              <w:jc w:val="center"/>
            </w:pPr>
            <w:r>
              <w:rPr>
                <w:sz w:val="16"/>
              </w:rPr>
              <w:t>3.4</w:t>
            </w:r>
          </w:p>
        </w:tc>
        <w:tc>
          <w:tcPr>
            <w:tcW w:w="1441" w:type="dxa"/>
            <w:vAlign w:val="center"/>
            <w:hideMark/>
          </w:tcPr>
          <w:p w14:paraId="23585760" w14:textId="77777777" w:rsidR="008E0426" w:rsidRDefault="008E0426">
            <w:pPr>
              <w:pStyle w:val="bmdsTblBody"/>
              <w:jc w:val="center"/>
            </w:pPr>
            <w:r>
              <w:rPr>
                <w:sz w:val="16"/>
              </w:rPr>
              <w:t>UP</w:t>
            </w:r>
          </w:p>
        </w:tc>
      </w:tr>
      <w:tr w:rsidR="008E0426" w14:paraId="631014C9" w14:textId="77777777" w:rsidTr="008E0426">
        <w:tc>
          <w:tcPr>
            <w:tcW w:w="2134" w:type="dxa"/>
            <w:vAlign w:val="center"/>
            <w:hideMark/>
          </w:tcPr>
          <w:p w14:paraId="5B8A52D5" w14:textId="77777777" w:rsidR="008E0426" w:rsidRDefault="008E0426">
            <w:pPr>
              <w:pStyle w:val="bmdsTblBody"/>
            </w:pPr>
            <w:proofErr w:type="spellStart"/>
            <w:r>
              <w:rPr>
                <w:b/>
              </w:rPr>
              <w:t>cyp4a1</w:t>
            </w:r>
            <w:proofErr w:type="spellEnd"/>
          </w:p>
        </w:tc>
        <w:tc>
          <w:tcPr>
            <w:tcW w:w="1325" w:type="dxa"/>
            <w:vAlign w:val="center"/>
            <w:hideMark/>
          </w:tcPr>
          <w:p w14:paraId="64988B52" w14:textId="77777777" w:rsidR="008E0426" w:rsidRDefault="008E0426">
            <w:pPr>
              <w:pStyle w:val="bmdsTblBody"/>
              <w:jc w:val="center"/>
            </w:pPr>
            <w:r>
              <w:rPr>
                <w:sz w:val="16"/>
              </w:rPr>
              <w:t>50549</w:t>
            </w:r>
          </w:p>
        </w:tc>
        <w:tc>
          <w:tcPr>
            <w:tcW w:w="1670" w:type="dxa"/>
            <w:vAlign w:val="center"/>
            <w:hideMark/>
          </w:tcPr>
          <w:p w14:paraId="4B25AFBD" w14:textId="77777777" w:rsidR="008E0426" w:rsidRDefault="008E0426">
            <w:pPr>
              <w:pStyle w:val="bmdsTblBody"/>
              <w:jc w:val="center"/>
            </w:pPr>
            <w:r>
              <w:rPr>
                <w:sz w:val="16"/>
              </w:rPr>
              <w:t>CYP4A1_33111</w:t>
            </w:r>
          </w:p>
        </w:tc>
        <w:tc>
          <w:tcPr>
            <w:tcW w:w="1394" w:type="dxa"/>
            <w:vAlign w:val="center"/>
            <w:hideMark/>
          </w:tcPr>
          <w:p w14:paraId="7FD3D586" w14:textId="77777777" w:rsidR="008E0426" w:rsidRDefault="008E0426">
            <w:pPr>
              <w:pStyle w:val="bmdsTblBody"/>
              <w:jc w:val="center"/>
            </w:pPr>
            <w:r>
              <w:rPr>
                <w:sz w:val="16"/>
              </w:rPr>
              <w:t>4.588 (2.345-9.587)</w:t>
            </w:r>
          </w:p>
        </w:tc>
        <w:tc>
          <w:tcPr>
            <w:tcW w:w="1396" w:type="dxa"/>
            <w:vAlign w:val="center"/>
            <w:hideMark/>
          </w:tcPr>
          <w:p w14:paraId="7CB37D26" w14:textId="77777777" w:rsidR="008E0426" w:rsidRDefault="008E0426">
            <w:pPr>
              <w:pStyle w:val="bmdsTblBody"/>
              <w:jc w:val="center"/>
            </w:pPr>
            <w:r>
              <w:rPr>
                <w:sz w:val="16"/>
              </w:rPr>
              <w:t>2.6</w:t>
            </w:r>
          </w:p>
        </w:tc>
        <w:tc>
          <w:tcPr>
            <w:tcW w:w="1441" w:type="dxa"/>
            <w:vAlign w:val="center"/>
            <w:hideMark/>
          </w:tcPr>
          <w:p w14:paraId="0CD5043B" w14:textId="77777777" w:rsidR="008E0426" w:rsidRDefault="008E0426">
            <w:pPr>
              <w:pStyle w:val="bmdsTblBody"/>
              <w:jc w:val="center"/>
            </w:pPr>
            <w:r>
              <w:rPr>
                <w:sz w:val="16"/>
              </w:rPr>
              <w:t>UP</w:t>
            </w:r>
          </w:p>
        </w:tc>
      </w:tr>
      <w:tr w:rsidR="008E0426" w14:paraId="573862A3" w14:textId="77777777" w:rsidTr="008E0426">
        <w:tc>
          <w:tcPr>
            <w:tcW w:w="2134" w:type="dxa"/>
            <w:vAlign w:val="center"/>
            <w:hideMark/>
          </w:tcPr>
          <w:p w14:paraId="7AFA5C8D" w14:textId="77777777" w:rsidR="008E0426" w:rsidRDefault="008E0426">
            <w:pPr>
              <w:pStyle w:val="bmdsTblBody"/>
            </w:pPr>
            <w:proofErr w:type="spellStart"/>
            <w:r>
              <w:rPr>
                <w:b/>
              </w:rPr>
              <w:t>anxa7</w:t>
            </w:r>
            <w:proofErr w:type="spellEnd"/>
          </w:p>
        </w:tc>
        <w:tc>
          <w:tcPr>
            <w:tcW w:w="1325" w:type="dxa"/>
            <w:vAlign w:val="center"/>
            <w:hideMark/>
          </w:tcPr>
          <w:p w14:paraId="71BD7EE3" w14:textId="77777777" w:rsidR="008E0426" w:rsidRDefault="008E0426">
            <w:pPr>
              <w:pStyle w:val="bmdsTblBody"/>
              <w:jc w:val="center"/>
            </w:pPr>
            <w:r>
              <w:rPr>
                <w:sz w:val="16"/>
              </w:rPr>
              <w:t>155423</w:t>
            </w:r>
          </w:p>
        </w:tc>
        <w:tc>
          <w:tcPr>
            <w:tcW w:w="1670" w:type="dxa"/>
            <w:vAlign w:val="center"/>
            <w:hideMark/>
          </w:tcPr>
          <w:p w14:paraId="0DB9B970" w14:textId="77777777" w:rsidR="008E0426" w:rsidRDefault="008E0426">
            <w:pPr>
              <w:pStyle w:val="bmdsTblBody"/>
              <w:jc w:val="center"/>
            </w:pPr>
            <w:r>
              <w:rPr>
                <w:sz w:val="16"/>
              </w:rPr>
              <w:t>ANXA7_8051</w:t>
            </w:r>
          </w:p>
        </w:tc>
        <w:tc>
          <w:tcPr>
            <w:tcW w:w="1394" w:type="dxa"/>
            <w:vAlign w:val="center"/>
            <w:hideMark/>
          </w:tcPr>
          <w:p w14:paraId="290BB19D" w14:textId="77777777" w:rsidR="008E0426" w:rsidRDefault="008E0426">
            <w:pPr>
              <w:pStyle w:val="bmdsTblBody"/>
              <w:jc w:val="center"/>
            </w:pPr>
            <w:r>
              <w:rPr>
                <w:sz w:val="16"/>
              </w:rPr>
              <w:t>4.660 (2.970-7.797)</w:t>
            </w:r>
          </w:p>
        </w:tc>
        <w:tc>
          <w:tcPr>
            <w:tcW w:w="1396" w:type="dxa"/>
            <w:vAlign w:val="center"/>
            <w:hideMark/>
          </w:tcPr>
          <w:p w14:paraId="40A9A927" w14:textId="77777777" w:rsidR="008E0426" w:rsidRDefault="008E0426">
            <w:pPr>
              <w:pStyle w:val="bmdsTblBody"/>
              <w:jc w:val="center"/>
            </w:pPr>
            <w:r>
              <w:rPr>
                <w:sz w:val="16"/>
              </w:rPr>
              <w:t>3.8</w:t>
            </w:r>
          </w:p>
        </w:tc>
        <w:tc>
          <w:tcPr>
            <w:tcW w:w="1441" w:type="dxa"/>
            <w:vAlign w:val="center"/>
            <w:hideMark/>
          </w:tcPr>
          <w:p w14:paraId="47CB2432" w14:textId="77777777" w:rsidR="008E0426" w:rsidRDefault="008E0426">
            <w:pPr>
              <w:pStyle w:val="bmdsTblBody"/>
              <w:jc w:val="center"/>
            </w:pPr>
            <w:r>
              <w:rPr>
                <w:sz w:val="16"/>
              </w:rPr>
              <w:t>UP</w:t>
            </w:r>
          </w:p>
        </w:tc>
      </w:tr>
      <w:tr w:rsidR="008E0426" w14:paraId="6DBDE919" w14:textId="77777777" w:rsidTr="008E0426">
        <w:tc>
          <w:tcPr>
            <w:tcW w:w="2134" w:type="dxa"/>
            <w:tcBorders>
              <w:top w:val="nil"/>
              <w:left w:val="nil"/>
              <w:bottom w:val="single" w:sz="2" w:space="0" w:color="000000"/>
              <w:right w:val="nil"/>
            </w:tcBorders>
            <w:vAlign w:val="center"/>
            <w:hideMark/>
          </w:tcPr>
          <w:p w14:paraId="292CE434" w14:textId="77777777" w:rsidR="008E0426" w:rsidRDefault="008E0426">
            <w:pPr>
              <w:pStyle w:val="bmdsTblBody"/>
            </w:pPr>
            <w:proofErr w:type="spellStart"/>
            <w:r>
              <w:rPr>
                <w:b/>
              </w:rPr>
              <w:t>slc17a3</w:t>
            </w:r>
            <w:proofErr w:type="spellEnd"/>
          </w:p>
        </w:tc>
        <w:tc>
          <w:tcPr>
            <w:tcW w:w="1325" w:type="dxa"/>
            <w:tcBorders>
              <w:top w:val="nil"/>
              <w:left w:val="nil"/>
              <w:bottom w:val="single" w:sz="2" w:space="0" w:color="000000"/>
              <w:right w:val="nil"/>
            </w:tcBorders>
            <w:vAlign w:val="center"/>
            <w:hideMark/>
          </w:tcPr>
          <w:p w14:paraId="3A3B6254" w14:textId="77777777" w:rsidR="008E0426" w:rsidRDefault="008E0426">
            <w:pPr>
              <w:pStyle w:val="bmdsTblBody"/>
              <w:jc w:val="center"/>
            </w:pPr>
            <w:r>
              <w:rPr>
                <w:sz w:val="16"/>
              </w:rPr>
              <w:t>266730</w:t>
            </w:r>
          </w:p>
        </w:tc>
        <w:tc>
          <w:tcPr>
            <w:tcW w:w="1670" w:type="dxa"/>
            <w:tcBorders>
              <w:top w:val="nil"/>
              <w:left w:val="nil"/>
              <w:bottom w:val="single" w:sz="2" w:space="0" w:color="000000"/>
              <w:right w:val="nil"/>
            </w:tcBorders>
            <w:vAlign w:val="center"/>
            <w:hideMark/>
          </w:tcPr>
          <w:p w14:paraId="1337F647" w14:textId="77777777" w:rsidR="008E0426" w:rsidRDefault="008E0426">
            <w:pPr>
              <w:pStyle w:val="bmdsTblBody"/>
              <w:jc w:val="center"/>
            </w:pPr>
            <w:r>
              <w:rPr>
                <w:sz w:val="16"/>
              </w:rPr>
              <w:t>SLC17A3_9840</w:t>
            </w:r>
          </w:p>
        </w:tc>
        <w:tc>
          <w:tcPr>
            <w:tcW w:w="1394" w:type="dxa"/>
            <w:tcBorders>
              <w:top w:val="nil"/>
              <w:left w:val="nil"/>
              <w:bottom w:val="single" w:sz="2" w:space="0" w:color="000000"/>
              <w:right w:val="nil"/>
            </w:tcBorders>
            <w:vAlign w:val="center"/>
            <w:hideMark/>
          </w:tcPr>
          <w:p w14:paraId="64EFB963" w14:textId="77777777" w:rsidR="008E0426" w:rsidRDefault="008E0426">
            <w:pPr>
              <w:pStyle w:val="bmdsTblBody"/>
              <w:jc w:val="center"/>
            </w:pPr>
            <w:r>
              <w:rPr>
                <w:sz w:val="16"/>
              </w:rPr>
              <w:t>5.147 (3.485-8.103)</w:t>
            </w:r>
          </w:p>
        </w:tc>
        <w:tc>
          <w:tcPr>
            <w:tcW w:w="1396" w:type="dxa"/>
            <w:tcBorders>
              <w:top w:val="nil"/>
              <w:left w:val="nil"/>
              <w:bottom w:val="single" w:sz="2" w:space="0" w:color="000000"/>
              <w:right w:val="nil"/>
            </w:tcBorders>
            <w:vAlign w:val="center"/>
            <w:hideMark/>
          </w:tcPr>
          <w:p w14:paraId="5BA802A0" w14:textId="77777777" w:rsidR="008E0426" w:rsidRDefault="008E0426">
            <w:pPr>
              <w:pStyle w:val="bmdsTblBody"/>
              <w:jc w:val="center"/>
            </w:pPr>
            <w:r>
              <w:rPr>
                <w:sz w:val="16"/>
              </w:rPr>
              <w:t>3.1</w:t>
            </w:r>
          </w:p>
        </w:tc>
        <w:tc>
          <w:tcPr>
            <w:tcW w:w="1441" w:type="dxa"/>
            <w:tcBorders>
              <w:top w:val="nil"/>
              <w:left w:val="nil"/>
              <w:bottom w:val="single" w:sz="2" w:space="0" w:color="000000"/>
              <w:right w:val="nil"/>
            </w:tcBorders>
            <w:vAlign w:val="center"/>
            <w:hideMark/>
          </w:tcPr>
          <w:p w14:paraId="57799109" w14:textId="77777777" w:rsidR="008E0426" w:rsidRDefault="008E0426">
            <w:pPr>
              <w:pStyle w:val="bmdsTblBody"/>
              <w:jc w:val="center"/>
            </w:pPr>
            <w:r>
              <w:rPr>
                <w:sz w:val="16"/>
              </w:rPr>
              <w:t>UP</w:t>
            </w:r>
          </w:p>
        </w:tc>
      </w:tr>
    </w:tbl>
    <w:p w14:paraId="29A45454" w14:textId="77777777" w:rsidR="008E0426" w:rsidRDefault="008E0426" w:rsidP="008E0426">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Descriptions of orthologous human genes are shown due to the increased detail that is available in public resources such as </w:t>
      </w:r>
      <w:proofErr w:type="spellStart"/>
      <w:r>
        <w:rPr>
          <w:rFonts w:ascii="Times New Roman" w:hAnsi="Times New Roman" w:cs="Times New Roman"/>
          <w:color w:val="000000" w:themeColor="text1"/>
          <w:sz w:val="18"/>
          <w:szCs w:val="18"/>
        </w:rPr>
        <w:t>UniprotKB</w:t>
      </w:r>
      <w:proofErr w:type="spellEnd"/>
      <w:r>
        <w:rPr>
          <w:rFonts w:ascii="Times New Roman" w:hAnsi="Times New Roman" w:cs="Times New Roman"/>
          <w:color w:val="000000" w:themeColor="text1"/>
          <w:sz w:val="18"/>
          <w:szCs w:val="18"/>
        </w:rPr>
        <w:t xml:space="preserve"> (</w:t>
      </w:r>
      <w:hyperlink r:id="rId4" w:history="1">
        <w:r>
          <w:rPr>
            <w:rStyle w:val="Hyperlink"/>
            <w:rFonts w:ascii="Times New Roman" w:hAnsi="Times New Roman" w:cs="Times New Roman"/>
            <w:sz w:val="18"/>
            <w:szCs w:val="18"/>
          </w:rPr>
          <w:t>https://www.uniprot.org/uniprot/</w:t>
        </w:r>
      </w:hyperlink>
      <w:r>
        <w:rPr>
          <w:rFonts w:ascii="Times New Roman" w:hAnsi="Times New Roman" w:cs="Times New Roman"/>
          <w:color w:val="000000" w:themeColor="text1"/>
          <w:sz w:val="18"/>
          <w:szCs w:val="18"/>
        </w:rPr>
        <w:t>) and Entrez Gene (</w:t>
      </w:r>
      <w:hyperlink r:id="rId5" w:history="1">
        <w:r>
          <w:rPr>
            <w:rStyle w:val="Hyperlink"/>
            <w:rFonts w:ascii="Times New Roman" w:hAnsi="Times New Roman" w:cs="Times New Roman"/>
            <w:sz w:val="18"/>
            <w:szCs w:val="18"/>
          </w:rPr>
          <w:t>https://www.ncbi.nlm.nih.gov/gene/</w:t>
        </w:r>
      </w:hyperlink>
      <w:r>
        <w:rPr>
          <w:rFonts w:ascii="Times New Roman" w:hAnsi="Times New Roman" w:cs="Times New Roman"/>
          <w:color w:val="000000" w:themeColor="text1"/>
          <w:sz w:val="18"/>
          <w:szCs w:val="18"/>
        </w:rPr>
        <w:t xml:space="preserve">). Human </w:t>
      </w:r>
      <w:proofErr w:type="spellStart"/>
      <w:r>
        <w:rPr>
          <w:rFonts w:ascii="Times New Roman" w:hAnsi="Times New Roman" w:cs="Times New Roman"/>
          <w:color w:val="000000" w:themeColor="text1"/>
          <w:sz w:val="18"/>
          <w:szCs w:val="18"/>
        </w:rPr>
        <w:t>UniprotKB</w:t>
      </w:r>
      <w:proofErr w:type="spellEnd"/>
      <w:r>
        <w:rPr>
          <w:rFonts w:ascii="Times New Roman" w:hAnsi="Times New Roman" w:cs="Times New Roman"/>
          <w:color w:val="000000" w:themeColor="text1"/>
          <w:sz w:val="18"/>
          <w:szCs w:val="18"/>
        </w:rPr>
        <w:t xml:space="preserve"> was used as primary resource due to the greater breadth of annotation and depth of functional detail that is provided. Rat </w:t>
      </w:r>
      <w:proofErr w:type="spellStart"/>
      <w:r>
        <w:rPr>
          <w:rFonts w:ascii="Times New Roman" w:hAnsi="Times New Roman" w:cs="Times New Roman"/>
          <w:color w:val="000000" w:themeColor="text1"/>
          <w:sz w:val="18"/>
          <w:szCs w:val="18"/>
        </w:rPr>
        <w:t>UniprotKB</w:t>
      </w:r>
      <w:proofErr w:type="spellEnd"/>
      <w:r>
        <w:rPr>
          <w:rFonts w:ascii="Times New Roman" w:hAnsi="Times New Roman" w:cs="Times New Roman"/>
          <w:color w:val="000000" w:themeColor="text1"/>
          <w:sz w:val="18"/>
          <w:szCs w:val="18"/>
        </w:rPr>
        <w:t xml:space="preserve"> was used as the second resource if the primary source did not provide a detailed description of function. Human Entrez gene summary was used as third resource. Rat Entrez gene summary was used as the fourth resource.</w:t>
      </w:r>
    </w:p>
    <w:p w14:paraId="2043D1E4" w14:textId="27A0A5DF" w:rsidR="008E0426" w:rsidRPr="000D05F7" w:rsidRDefault="008E0426" w:rsidP="008E0426">
      <w:pPr>
        <w:pStyle w:val="bmdsTblFootnote"/>
      </w:pPr>
      <w:r>
        <w:rPr>
          <w:b/>
        </w:rPr>
        <w:t xml:space="preserve">Gene definition version: </w:t>
      </w:r>
      <w:r w:rsidR="000D05F7" w:rsidRPr="000E6A0C">
        <w:rPr>
          <w:rFonts w:eastAsia="Calibri" w:cs="Times New Roman"/>
          <w:bCs/>
          <w:szCs w:val="18"/>
        </w:rPr>
        <w:t xml:space="preserve">https://cebs.niehs.nih.gov/cebs/study/002-00600-0002-000-0 </w:t>
      </w:r>
      <w:proofErr w:type="spellStart"/>
      <w:r w:rsidR="000D05F7" w:rsidRPr="000E6A0C">
        <w:rPr>
          <w:rFonts w:eastAsia="Calibri" w:cs="Times New Roman"/>
          <w:bCs/>
          <w:szCs w:val="18"/>
        </w:rPr>
        <w:t>V052</w:t>
      </w:r>
      <w:r w:rsidR="0078061E">
        <w:rPr>
          <w:rFonts w:eastAsia="Calibri" w:cs="Times New Roman"/>
          <w:bCs/>
          <w:szCs w:val="18"/>
        </w:rPr>
        <w:t>8</w:t>
      </w:r>
      <w:r w:rsidR="000D05F7" w:rsidRPr="000E6A0C">
        <w:rPr>
          <w:rFonts w:eastAsia="Calibri" w:cs="Times New Roman"/>
          <w:bCs/>
          <w:szCs w:val="18"/>
        </w:rPr>
        <w:t>2021</w:t>
      </w:r>
      <w:proofErr w:type="spellEnd"/>
    </w:p>
    <w:p w14:paraId="64D7D438" w14:textId="77777777" w:rsidR="008E0426" w:rsidRDefault="008E0426" w:rsidP="008E0426">
      <w:pPr>
        <w:pStyle w:val="bmdsTblFootnote"/>
      </w:pPr>
      <w:proofErr w:type="spellStart"/>
      <w:r>
        <w:rPr>
          <w:b/>
        </w:rPr>
        <w:t>Pck1</w:t>
      </w:r>
      <w:proofErr w:type="spellEnd"/>
      <w:r>
        <w:rPr>
          <w:b/>
        </w:rPr>
        <w:t>:</w:t>
      </w:r>
      <w:r>
        <w:rPr>
          <w:i/>
        </w:rPr>
        <w:t xml:space="preserve"> Human </w:t>
      </w:r>
      <w:proofErr w:type="spellStart"/>
      <w:r>
        <w:rPr>
          <w:i/>
        </w:rPr>
        <w:t>Uniprot</w:t>
      </w:r>
      <w:proofErr w:type="spellEnd"/>
      <w:r>
        <w:rPr>
          <w:i/>
        </w:rPr>
        <w:t xml:space="preserve"> function (Human PCK1):</w:t>
      </w:r>
      <w:r>
        <w:t xml:space="preserve"> Cytosolic phosphoenolpyruvate </w:t>
      </w:r>
      <w:proofErr w:type="spellStart"/>
      <w:r>
        <w:t>carboxykinase</w:t>
      </w:r>
      <w:proofErr w:type="spellEnd"/>
      <w:r>
        <w:t xml:space="preserve"> that catalyzes the reversible decarboxylation and phosphorylation of oxaloacetate (OAA) and acts as the rate-limiting enzyme in gluconeogenesis (</w:t>
      </w:r>
      <w:proofErr w:type="spellStart"/>
      <w:r>
        <w:t>PubMed30193097</w:t>
      </w:r>
      <w:proofErr w:type="spellEnd"/>
      <w:r>
        <w:t xml:space="preserve">, </w:t>
      </w:r>
      <w:proofErr w:type="spellStart"/>
      <w:r>
        <w:t>PubMed24863970</w:t>
      </w:r>
      <w:proofErr w:type="spellEnd"/>
      <w:r>
        <w:t xml:space="preserve">, </w:t>
      </w:r>
      <w:proofErr w:type="spellStart"/>
      <w:r>
        <w:t>PubMed26971250</w:t>
      </w:r>
      <w:proofErr w:type="spellEnd"/>
      <w:r>
        <w:t xml:space="preserve">, </w:t>
      </w:r>
      <w:proofErr w:type="spellStart"/>
      <w:r>
        <w:t>PubMed28216384</w:t>
      </w:r>
      <w:proofErr w:type="spellEnd"/>
      <w:r>
        <w:t xml:space="preserve">). Regulates cataplerosis and </w:t>
      </w:r>
      <w:proofErr w:type="spellStart"/>
      <w:r>
        <w:t>anaplerosis</w:t>
      </w:r>
      <w:proofErr w:type="spellEnd"/>
      <w:r>
        <w:t>, the processes that control the levels of metabolic intermediates in the citric acid cycle (</w:t>
      </w:r>
      <w:proofErr w:type="spellStart"/>
      <w:r>
        <w:t>PubMed30193097</w:t>
      </w:r>
      <w:proofErr w:type="spellEnd"/>
      <w:r>
        <w:t xml:space="preserve">, </w:t>
      </w:r>
      <w:proofErr w:type="spellStart"/>
      <w:r>
        <w:t>PubMed24863970</w:t>
      </w:r>
      <w:proofErr w:type="spellEnd"/>
      <w:r>
        <w:t xml:space="preserve">, </w:t>
      </w:r>
      <w:proofErr w:type="spellStart"/>
      <w:r>
        <w:t>PubMed26971250</w:t>
      </w:r>
      <w:proofErr w:type="spellEnd"/>
      <w:r>
        <w:t xml:space="preserve">, </w:t>
      </w:r>
      <w:proofErr w:type="spellStart"/>
      <w:r>
        <w:t>PubMed28216384</w:t>
      </w:r>
      <w:proofErr w:type="spellEnd"/>
      <w:r>
        <w:t>). At low glucose levels, it catalyzes the cataplerotic conversion of oxaloacetate to phosphoenolpyruvate (PEP), the rate-limiting step in the metabolic pathway that produces glucose from lactate and other precursors derived from the citric acid cycle (</w:t>
      </w:r>
      <w:proofErr w:type="spellStart"/>
      <w:r>
        <w:t>PubMed30193097</w:t>
      </w:r>
      <w:proofErr w:type="spellEnd"/>
      <w:r>
        <w:t xml:space="preserve">). At high glucose levels, it catalyzes the </w:t>
      </w:r>
      <w:proofErr w:type="spellStart"/>
      <w:r>
        <w:t>anaplerotic</w:t>
      </w:r>
      <w:proofErr w:type="spellEnd"/>
      <w:r>
        <w:t xml:space="preserve"> conversion of phosphoenolpyruvate to oxaloacetate (</w:t>
      </w:r>
      <w:proofErr w:type="spellStart"/>
      <w:r>
        <w:t>PubMed30193097</w:t>
      </w:r>
      <w:proofErr w:type="spellEnd"/>
      <w:r>
        <w:t xml:space="preserve">). Acts as a regulator of formation and maintenance of memory CD8(+) T-cells up-regulated in these cells, where it generates phosphoenolpyruvate, via gluconeogenesis (By similarity). The resultant phosphoenolpyruvate flows to glycogen and pentose phosphate pathway, which is essential for memory CD8(+) T-cells homeostasis (By similarity). In addition to the phosphoenolpyruvate </w:t>
      </w:r>
      <w:proofErr w:type="spellStart"/>
      <w:r>
        <w:t>carboxykinase</w:t>
      </w:r>
      <w:proofErr w:type="spellEnd"/>
      <w:r>
        <w:t xml:space="preserve"> activity, also acts as a protein kinase when phosphorylated at Ser-90 phosphorylation at Ser-90 by AKT1 reduces the binding affinity to oxaloacetate and promotes an atypical serine protein kinase activity using GTP as donor (</w:t>
      </w:r>
      <w:proofErr w:type="spellStart"/>
      <w:r>
        <w:t>PubMed32322062</w:t>
      </w:r>
      <w:proofErr w:type="spellEnd"/>
      <w:r>
        <w:t xml:space="preserve">). The protein kinase activity regulates lipogenesis upon phosphorylation at Ser-90, </w:t>
      </w:r>
      <w:proofErr w:type="spellStart"/>
      <w:r>
        <w:t>translocates</w:t>
      </w:r>
      <w:proofErr w:type="spellEnd"/>
      <w:r>
        <w:t xml:space="preserve"> to the endoplasmic reticulum and catalyzes phosphorylation of INSIG proteins (INSIG1 and INSIG2), thereby disrupting the interaction between INSIG proteins and SCAP and promoting nuclear translocation of SREBP proteins (SREBF1/SREBP1 or SREBF2/SREBP2) and subsequent transcription of downstream lipogenesis-related genes (</w:t>
      </w:r>
      <w:proofErr w:type="spellStart"/>
      <w:r>
        <w:t>PubMed32322062</w:t>
      </w:r>
      <w:proofErr w:type="spellEnd"/>
      <w:r>
        <w:t>). {</w:t>
      </w:r>
      <w:proofErr w:type="spellStart"/>
      <w:r>
        <w:t>ECO0000250|UniProtKBQ9Z2V4</w:t>
      </w:r>
      <w:proofErr w:type="spellEnd"/>
      <w:r>
        <w:t xml:space="preserve">, </w:t>
      </w:r>
      <w:proofErr w:type="spellStart"/>
      <w:r>
        <w:t>ECO0000269|PubMed24863970</w:t>
      </w:r>
      <w:proofErr w:type="spellEnd"/>
      <w:r>
        <w:t xml:space="preserve">, </w:t>
      </w:r>
      <w:proofErr w:type="spellStart"/>
      <w:r>
        <w:t>ECO0000269|PubMed26971250</w:t>
      </w:r>
      <w:proofErr w:type="spellEnd"/>
      <w:r>
        <w:t xml:space="preserve">, </w:t>
      </w:r>
      <w:proofErr w:type="spellStart"/>
      <w:r>
        <w:t>ECO0000269|PubMed28216384</w:t>
      </w:r>
      <w:proofErr w:type="spellEnd"/>
      <w:r>
        <w:t xml:space="preserve">, </w:t>
      </w:r>
      <w:proofErr w:type="spellStart"/>
      <w:r>
        <w:t>ECO0000269|PubMed30193097</w:t>
      </w:r>
      <w:proofErr w:type="spellEnd"/>
      <w:r>
        <w:t xml:space="preserve">, </w:t>
      </w:r>
      <w:proofErr w:type="spellStart"/>
      <w:r>
        <w:t>ECO0000269|PubMed32322062</w:t>
      </w:r>
      <w:proofErr w:type="spellEnd"/>
      <w:r>
        <w:t>}.</w:t>
      </w:r>
    </w:p>
    <w:p w14:paraId="46F5519E" w14:textId="77777777" w:rsidR="008E0426" w:rsidRDefault="008E0426" w:rsidP="008E0426">
      <w:pPr>
        <w:pStyle w:val="bmdsTblFootnote"/>
      </w:pPr>
      <w:proofErr w:type="spellStart"/>
      <w:r>
        <w:rPr>
          <w:b/>
        </w:rPr>
        <w:t>A2m</w:t>
      </w:r>
      <w:proofErr w:type="spellEnd"/>
      <w:r>
        <w:rPr>
          <w:b/>
        </w:rPr>
        <w:t>:</w:t>
      </w:r>
      <w:r>
        <w:rPr>
          <w:i/>
        </w:rPr>
        <w:t xml:space="preserve"> Human </w:t>
      </w:r>
      <w:proofErr w:type="spellStart"/>
      <w:r>
        <w:rPr>
          <w:i/>
        </w:rPr>
        <w:t>Uniprot</w:t>
      </w:r>
      <w:proofErr w:type="spellEnd"/>
      <w:r>
        <w:rPr>
          <w:i/>
        </w:rPr>
        <w:t xml:space="preserve"> function (Human A2M):</w:t>
      </w:r>
      <w:r>
        <w:t xml:space="preserve"> </w:t>
      </w:r>
      <w:proofErr w:type="gramStart"/>
      <w:r>
        <w:t>Is able to</w:t>
      </w:r>
      <w:proofErr w:type="gramEnd"/>
      <w:r>
        <w:t xml:space="preserve"> inhibit all four classes of proteinases by a unique 'trapping' mechanism. This protein has a peptide stretch, called the 'bait region' which contains specific cleavage sites for different proteinases. When a proteinase cleaves the bait region, a conformational change is induced in the protein which traps the proteinase. The entrapped enzyme remains active against low molecular weight substrates (activity against high molecular weight substrates is greatly reduced). Following cleavage in the bait region, a thioester bond is hydrolyzed and mediates the covalent binding of the protein to the proteinase.</w:t>
      </w:r>
    </w:p>
    <w:p w14:paraId="4C48FC1B" w14:textId="77777777" w:rsidR="008E0426" w:rsidRDefault="008E0426" w:rsidP="008E0426">
      <w:pPr>
        <w:pStyle w:val="bmdsTblFootnote"/>
      </w:pPr>
      <w:r>
        <w:rPr>
          <w:b/>
        </w:rPr>
        <w:t>LOC100911545:</w:t>
      </w:r>
      <w:r>
        <w:rPr>
          <w:i/>
        </w:rPr>
        <w:t xml:space="preserve"> Human </w:t>
      </w:r>
      <w:proofErr w:type="spellStart"/>
      <w:r>
        <w:rPr>
          <w:i/>
        </w:rPr>
        <w:t>Uniprot</w:t>
      </w:r>
      <w:proofErr w:type="spellEnd"/>
      <w:r>
        <w:rPr>
          <w:i/>
        </w:rPr>
        <w:t xml:space="preserve"> function (Human A2M):</w:t>
      </w:r>
      <w:r>
        <w:t xml:space="preserve"> </w:t>
      </w:r>
      <w:proofErr w:type="gramStart"/>
      <w:r>
        <w:t>Is able to</w:t>
      </w:r>
      <w:proofErr w:type="gramEnd"/>
      <w:r>
        <w:t xml:space="preserve"> inhibit all four classes of proteinases by a unique 'trapping' mechanism. This protein has a peptide stretch, called the 'bait region' which contains specific cleavage sites for different proteinases. When a proteinase cleaves the bait region, a conformational change is induced in the protein which traps the proteinase. The entrapped enzyme remains active against low molecular weight substrates (activity against high molecular weight substrates is greatly reduced). Following cleavage in the bait region, a thioester bond is hydrolyzed and mediates the covalent binding of the protein to the proteinase. A2MG_</w:t>
      </w:r>
      <w:proofErr w:type="gramStart"/>
      <w:r>
        <w:t>HUMAN,P</w:t>
      </w:r>
      <w:proofErr w:type="gramEnd"/>
      <w:r>
        <w:t>01023</w:t>
      </w:r>
    </w:p>
    <w:p w14:paraId="26FC6C41" w14:textId="77777777" w:rsidR="008E0426" w:rsidRDefault="008E0426" w:rsidP="008E0426">
      <w:pPr>
        <w:pStyle w:val="bmdsTblFootnote"/>
      </w:pPr>
      <w:proofErr w:type="spellStart"/>
      <w:r>
        <w:rPr>
          <w:b/>
        </w:rPr>
        <w:t>Zfp354a</w:t>
      </w:r>
      <w:proofErr w:type="spellEnd"/>
      <w:r>
        <w:rPr>
          <w:b/>
        </w:rPr>
        <w:t>:</w:t>
      </w:r>
      <w:r>
        <w:rPr>
          <w:i/>
        </w:rPr>
        <w:t xml:space="preserve"> Rat </w:t>
      </w:r>
      <w:proofErr w:type="spellStart"/>
      <w:r>
        <w:rPr>
          <w:i/>
        </w:rPr>
        <w:t>Uniprot</w:t>
      </w:r>
      <w:proofErr w:type="spellEnd"/>
      <w:r>
        <w:rPr>
          <w:i/>
        </w:rPr>
        <w:t xml:space="preserve"> Function (Human ZNF354A):</w:t>
      </w:r>
      <w:r>
        <w:t xml:space="preserve"> It may play a role in renal development and may also be involved in the repair of the kidney after ischemia-reperfusion or folic acid administration.</w:t>
      </w:r>
    </w:p>
    <w:p w14:paraId="3CD1C84A" w14:textId="77777777" w:rsidR="008E0426" w:rsidRDefault="008E0426" w:rsidP="008E0426">
      <w:pPr>
        <w:pStyle w:val="bmdsTblFootnote"/>
      </w:pPr>
      <w:proofErr w:type="spellStart"/>
      <w:r>
        <w:rPr>
          <w:b/>
        </w:rPr>
        <w:lastRenderedPageBreak/>
        <w:t>Akr7a3</w:t>
      </w:r>
      <w:proofErr w:type="spellEnd"/>
      <w:r>
        <w:rPr>
          <w:b/>
        </w:rPr>
        <w:t>:</w:t>
      </w:r>
      <w:r>
        <w:rPr>
          <w:i/>
        </w:rPr>
        <w:t xml:space="preserve"> Human </w:t>
      </w:r>
      <w:proofErr w:type="spellStart"/>
      <w:r>
        <w:rPr>
          <w:i/>
        </w:rPr>
        <w:t>Uniprot</w:t>
      </w:r>
      <w:proofErr w:type="spellEnd"/>
      <w:r>
        <w:rPr>
          <w:i/>
        </w:rPr>
        <w:t xml:space="preserve"> function (Human AKR7A3):</w:t>
      </w:r>
      <w:r>
        <w:t xml:space="preserve"> Can reduce the dialdehyde protein-binding form of aflatoxin </w:t>
      </w:r>
      <w:proofErr w:type="spellStart"/>
      <w:r>
        <w:t>B1</w:t>
      </w:r>
      <w:proofErr w:type="spellEnd"/>
      <w:r>
        <w:t xml:space="preserve"> (AFB1) to the non-binding AFB1 </w:t>
      </w:r>
      <w:proofErr w:type="spellStart"/>
      <w:r>
        <w:t>dialcohol</w:t>
      </w:r>
      <w:proofErr w:type="spellEnd"/>
      <w:r>
        <w:t>. May be involved in protection of liver against the toxic and carcinogenic effects of AFB1, a potent hepatocarcinogen. {</w:t>
      </w:r>
      <w:proofErr w:type="spellStart"/>
      <w:r>
        <w:t>ECO0000269|PubMed18416522</w:t>
      </w:r>
      <w:proofErr w:type="spellEnd"/>
      <w:r>
        <w:t>}.</w:t>
      </w:r>
    </w:p>
    <w:p w14:paraId="56FD8E15" w14:textId="77777777" w:rsidR="008E0426" w:rsidRDefault="008E0426" w:rsidP="008E0426">
      <w:pPr>
        <w:pStyle w:val="bmdsTblFootnote"/>
      </w:pPr>
      <w:proofErr w:type="spellStart"/>
      <w:r>
        <w:rPr>
          <w:b/>
        </w:rPr>
        <w:t>Ephx1</w:t>
      </w:r>
      <w:proofErr w:type="spellEnd"/>
      <w:r>
        <w:rPr>
          <w:b/>
        </w:rPr>
        <w:t>:</w:t>
      </w:r>
      <w:r>
        <w:rPr>
          <w:i/>
        </w:rPr>
        <w:t xml:space="preserve"> Human </w:t>
      </w:r>
      <w:proofErr w:type="spellStart"/>
      <w:r>
        <w:rPr>
          <w:i/>
        </w:rPr>
        <w:t>Uniprot</w:t>
      </w:r>
      <w:proofErr w:type="spellEnd"/>
      <w:r>
        <w:rPr>
          <w:i/>
        </w:rPr>
        <w:t xml:space="preserve"> function (Human EPHX1):</w:t>
      </w:r>
      <w:r>
        <w:t xml:space="preserve"> Biotransformation enzyme that catalyzes the hydrolysis of arene and aliphatic epoxides to less reactive and more water soluble </w:t>
      </w:r>
      <w:proofErr w:type="spellStart"/>
      <w:r>
        <w:t>dihydrodiols</w:t>
      </w:r>
      <w:proofErr w:type="spellEnd"/>
      <w:r>
        <w:t xml:space="preserve"> by the trans addition of water (By similarity). Plays a role in the metabolism of endogenous lipids such as epoxide-containing fatty acids (</w:t>
      </w:r>
      <w:proofErr w:type="spellStart"/>
      <w:r>
        <w:t>PubMed22798687</w:t>
      </w:r>
      <w:proofErr w:type="spellEnd"/>
      <w:r>
        <w:t>). Metabolizes the abundant endocannabinoid 2-</w:t>
      </w:r>
      <w:proofErr w:type="spellStart"/>
      <w:r>
        <w:t>arachidonoylglycerol</w:t>
      </w:r>
      <w:proofErr w:type="spellEnd"/>
      <w:r>
        <w:t xml:space="preserve"> (2-AG) to free arachidonic acid (AA) and glycerol (</w:t>
      </w:r>
      <w:proofErr w:type="spellStart"/>
      <w:r>
        <w:t>PubMed24958911</w:t>
      </w:r>
      <w:proofErr w:type="spellEnd"/>
      <w:r>
        <w:t>). {</w:t>
      </w:r>
      <w:proofErr w:type="spellStart"/>
      <w:r>
        <w:t>ECO0000250|UniProtKBP07687</w:t>
      </w:r>
      <w:proofErr w:type="spellEnd"/>
      <w:r>
        <w:t xml:space="preserve">, </w:t>
      </w:r>
      <w:proofErr w:type="spellStart"/>
      <w:r>
        <w:t>ECO0000269|PubMed22798687</w:t>
      </w:r>
      <w:proofErr w:type="spellEnd"/>
      <w:r>
        <w:t xml:space="preserve">, </w:t>
      </w:r>
      <w:proofErr w:type="spellStart"/>
      <w:r>
        <w:t>ECO0000269|PubMed24958911</w:t>
      </w:r>
      <w:proofErr w:type="spellEnd"/>
      <w:r>
        <w:t>}.</w:t>
      </w:r>
    </w:p>
    <w:p w14:paraId="5840953E" w14:textId="77777777" w:rsidR="008E0426" w:rsidRDefault="008E0426" w:rsidP="008E0426">
      <w:pPr>
        <w:pStyle w:val="bmdsTblFootnote"/>
      </w:pPr>
      <w:proofErr w:type="spellStart"/>
      <w:r>
        <w:rPr>
          <w:b/>
        </w:rPr>
        <w:t>Me1</w:t>
      </w:r>
      <w:proofErr w:type="spellEnd"/>
      <w:r>
        <w:rPr>
          <w:b/>
        </w:rPr>
        <w:t>:</w:t>
      </w:r>
      <w:r>
        <w:rPr>
          <w:i/>
        </w:rPr>
        <w:t xml:space="preserve"> Human Entrez Gene Summary (Human ME1):</w:t>
      </w:r>
      <w:r>
        <w:t xml:space="preserve"> This gene encodes a cytosolic, NADP-dependent enzyme that generates NADPH for fatty acid biosynthesis. The activity of this enzyme, the reversible oxidative decarboxylation of malate, links the glycolytic and citric acid cycles. The regulation of expression for this gene is complex. Increased expression can result from elevated levels of thyroid hormones or by higher proportions of carbohydrates in the diet. [provided by </w:t>
      </w:r>
      <w:proofErr w:type="spellStart"/>
      <w:r>
        <w:t>RefSeq</w:t>
      </w:r>
      <w:proofErr w:type="spellEnd"/>
      <w:r>
        <w:t>, Jul 2008]</w:t>
      </w:r>
    </w:p>
    <w:p w14:paraId="40AA4EA7" w14:textId="77777777" w:rsidR="008E0426" w:rsidRDefault="008E0426" w:rsidP="008E0426">
      <w:pPr>
        <w:pStyle w:val="bmdsTblFootnote"/>
      </w:pPr>
      <w:proofErr w:type="spellStart"/>
      <w:r>
        <w:rPr>
          <w:b/>
        </w:rPr>
        <w:t>Cyp4a1</w:t>
      </w:r>
      <w:proofErr w:type="spellEnd"/>
      <w:r>
        <w:rPr>
          <w:b/>
        </w:rPr>
        <w:t>:</w:t>
      </w:r>
      <w:r>
        <w:rPr>
          <w:i/>
        </w:rPr>
        <w:t xml:space="preserve"> Human </w:t>
      </w:r>
      <w:proofErr w:type="spellStart"/>
      <w:r>
        <w:rPr>
          <w:i/>
        </w:rPr>
        <w:t>Uniprot</w:t>
      </w:r>
      <w:proofErr w:type="spellEnd"/>
      <w:r>
        <w:rPr>
          <w:i/>
        </w:rPr>
        <w:t xml:space="preserve"> function (Human CYP4A22):</w:t>
      </w:r>
      <w:r>
        <w:t xml:space="preserve"> Catalyzes the omega- and (omega-1)-hydroxylation of various fatty acids such as laurate and palmitate. Shows no activity towards arachidonic acid and prostaglandin A1. Lacks functional activity in the kidney and does not contribute to renal 20-</w:t>
      </w:r>
      <w:proofErr w:type="spellStart"/>
      <w:r>
        <w:t>hydroxyeicosatetraenoic</w:t>
      </w:r>
      <w:proofErr w:type="spellEnd"/>
      <w:r>
        <w:t xml:space="preserve"> acid (20-HETE) biosynthesis. {</w:t>
      </w:r>
      <w:proofErr w:type="spellStart"/>
      <w:r>
        <w:t>ECO0000269|PubMed10860550</w:t>
      </w:r>
      <w:proofErr w:type="spellEnd"/>
      <w:r>
        <w:t xml:space="preserve">, </w:t>
      </w:r>
      <w:proofErr w:type="spellStart"/>
      <w:r>
        <w:t>ECO0000269|PubMed15611369</w:t>
      </w:r>
      <w:proofErr w:type="spellEnd"/>
      <w:r>
        <w:t>}.</w:t>
      </w:r>
    </w:p>
    <w:p w14:paraId="6098426B" w14:textId="77777777" w:rsidR="008E0426" w:rsidRDefault="008E0426" w:rsidP="008E0426">
      <w:pPr>
        <w:pStyle w:val="bmdsTblFootnote"/>
      </w:pPr>
      <w:proofErr w:type="spellStart"/>
      <w:r>
        <w:rPr>
          <w:b/>
        </w:rPr>
        <w:t>Anxa7</w:t>
      </w:r>
      <w:proofErr w:type="spellEnd"/>
      <w:r>
        <w:rPr>
          <w:b/>
        </w:rPr>
        <w:t>:</w:t>
      </w:r>
      <w:r>
        <w:rPr>
          <w:i/>
        </w:rPr>
        <w:t xml:space="preserve"> Human </w:t>
      </w:r>
      <w:proofErr w:type="spellStart"/>
      <w:r>
        <w:rPr>
          <w:i/>
        </w:rPr>
        <w:t>Uniprot</w:t>
      </w:r>
      <w:proofErr w:type="spellEnd"/>
      <w:r>
        <w:rPr>
          <w:i/>
        </w:rPr>
        <w:t xml:space="preserve"> function (Human ANXA7):</w:t>
      </w:r>
      <w:r>
        <w:t xml:space="preserve"> Calcium/phospholipid-binding protein which promotes membrane fusion and is involved in exocytosis.</w:t>
      </w:r>
    </w:p>
    <w:p w14:paraId="4C38F656" w14:textId="77777777" w:rsidR="008E0426" w:rsidRDefault="008E0426" w:rsidP="008E0426">
      <w:pPr>
        <w:pStyle w:val="bmdsTblFootnote"/>
      </w:pPr>
      <w:proofErr w:type="spellStart"/>
      <w:r>
        <w:rPr>
          <w:b/>
        </w:rPr>
        <w:t>Slc17a3</w:t>
      </w:r>
      <w:proofErr w:type="spellEnd"/>
      <w:r>
        <w:rPr>
          <w:b/>
        </w:rPr>
        <w:t>:</w:t>
      </w:r>
      <w:r>
        <w:rPr>
          <w:i/>
        </w:rPr>
        <w:t xml:space="preserve"> Human </w:t>
      </w:r>
      <w:proofErr w:type="spellStart"/>
      <w:r>
        <w:rPr>
          <w:i/>
        </w:rPr>
        <w:t>Uniprot</w:t>
      </w:r>
      <w:proofErr w:type="spellEnd"/>
      <w:r>
        <w:rPr>
          <w:i/>
        </w:rPr>
        <w:t xml:space="preserve"> function (Human SLC17A3):</w:t>
      </w:r>
      <w:r>
        <w:t xml:space="preserve"> [Isoform 2] voltage-driven, </w:t>
      </w:r>
      <w:proofErr w:type="spellStart"/>
      <w:r>
        <w:t>multispecific</w:t>
      </w:r>
      <w:proofErr w:type="spellEnd"/>
      <w:r>
        <w:t>, organic anion transporter able to transport para-</w:t>
      </w:r>
      <w:proofErr w:type="spellStart"/>
      <w:r>
        <w:t>aminohippurate</w:t>
      </w:r>
      <w:proofErr w:type="spellEnd"/>
      <w:r>
        <w:t xml:space="preserve"> (PAH), estrone sulfate, estradiol-17-beta-glucuronide, bumetanide, and ochratoxin A. Isoform 2 functions as urate efflux transporter on the apical side of renal proximal tubule and is likely to act as an exit path for organic anionic drugs as well as urate in vivo. May be involved in actively transporting phosphate into cells via </w:t>
      </w:r>
      <w:proofErr w:type="gramStart"/>
      <w:r>
        <w:t>Na(</w:t>
      </w:r>
      <w:proofErr w:type="gramEnd"/>
      <w:r>
        <w:t>+) cotransport.</w:t>
      </w:r>
    </w:p>
    <w:p w14:paraId="404F178F" w14:textId="77777777" w:rsidR="008E0426" w:rsidRDefault="008E0426" w:rsidP="008E0426">
      <w:pPr>
        <w:rPr>
          <w:rFonts w:ascii="Times New Roman" w:hAnsi="Times New Roman"/>
          <w:sz w:val="18"/>
        </w:rPr>
      </w:pPr>
      <w:r>
        <w:br w:type="page"/>
      </w:r>
    </w:p>
    <w:p w14:paraId="3547AC61" w14:textId="77777777" w:rsidR="008E0426" w:rsidRDefault="008E0426" w:rsidP="008E0426">
      <w:pPr>
        <w:pStyle w:val="Heading3"/>
      </w:pPr>
      <w:r>
        <w:lastRenderedPageBreak/>
        <w:t>Female Liver Top 10 Genes Ranked by Potency of Perturbation (Sorted by BMD Median)</w:t>
      </w:r>
    </w:p>
    <w:tbl>
      <w:tblPr>
        <w:tblW w:w="0" w:type="auto"/>
        <w:tblLook w:val="04A0" w:firstRow="1" w:lastRow="0" w:firstColumn="1" w:lastColumn="0" w:noHBand="0" w:noVBand="1"/>
      </w:tblPr>
      <w:tblGrid>
        <w:gridCol w:w="1940"/>
        <w:gridCol w:w="1237"/>
        <w:gridCol w:w="1712"/>
        <w:gridCol w:w="1475"/>
        <w:gridCol w:w="1476"/>
        <w:gridCol w:w="1520"/>
      </w:tblGrid>
      <w:tr w:rsidR="008E0426" w14:paraId="1AE913F4" w14:textId="77777777" w:rsidTr="008E0426">
        <w:tc>
          <w:tcPr>
            <w:tcW w:w="1940" w:type="dxa"/>
            <w:tcBorders>
              <w:top w:val="single" w:sz="2" w:space="0" w:color="000000"/>
              <w:left w:val="nil"/>
              <w:bottom w:val="single" w:sz="2" w:space="0" w:color="000000"/>
              <w:right w:val="nil"/>
            </w:tcBorders>
            <w:vAlign w:val="center"/>
            <w:hideMark/>
          </w:tcPr>
          <w:p w14:paraId="19ACE081" w14:textId="77777777" w:rsidR="008E0426" w:rsidRDefault="008E0426">
            <w:pPr>
              <w:pStyle w:val="bmdsTblBody"/>
            </w:pPr>
            <w:r>
              <w:rPr>
                <w:b/>
              </w:rPr>
              <w:t>Gene Symbol</w:t>
            </w:r>
          </w:p>
        </w:tc>
        <w:tc>
          <w:tcPr>
            <w:tcW w:w="1237" w:type="dxa"/>
            <w:tcBorders>
              <w:top w:val="single" w:sz="2" w:space="0" w:color="000000"/>
              <w:left w:val="nil"/>
              <w:bottom w:val="single" w:sz="2" w:space="0" w:color="000000"/>
              <w:right w:val="nil"/>
            </w:tcBorders>
            <w:vAlign w:val="center"/>
            <w:hideMark/>
          </w:tcPr>
          <w:p w14:paraId="182D717C" w14:textId="77777777" w:rsidR="008E0426" w:rsidRDefault="008E0426">
            <w:pPr>
              <w:pStyle w:val="bmdsTblHeader"/>
              <w:jc w:val="center"/>
            </w:pPr>
            <w:r>
              <w:t>Entrez Gene IDs</w:t>
            </w:r>
          </w:p>
        </w:tc>
        <w:tc>
          <w:tcPr>
            <w:tcW w:w="1712" w:type="dxa"/>
            <w:tcBorders>
              <w:top w:val="single" w:sz="2" w:space="0" w:color="000000"/>
              <w:left w:val="nil"/>
              <w:bottom w:val="single" w:sz="2" w:space="0" w:color="000000"/>
              <w:right w:val="nil"/>
            </w:tcBorders>
            <w:vAlign w:val="center"/>
            <w:hideMark/>
          </w:tcPr>
          <w:p w14:paraId="22675380" w14:textId="77777777" w:rsidR="008E0426" w:rsidRDefault="008E0426">
            <w:pPr>
              <w:pStyle w:val="bmdsTblHeader"/>
              <w:jc w:val="center"/>
            </w:pPr>
            <w:r>
              <w:t>Probe IDs</w:t>
            </w:r>
          </w:p>
        </w:tc>
        <w:tc>
          <w:tcPr>
            <w:tcW w:w="1475" w:type="dxa"/>
            <w:tcBorders>
              <w:top w:val="single" w:sz="2" w:space="0" w:color="000000"/>
              <w:left w:val="nil"/>
              <w:bottom w:val="single" w:sz="2" w:space="0" w:color="000000"/>
              <w:right w:val="nil"/>
            </w:tcBorders>
            <w:vAlign w:val="center"/>
            <w:hideMark/>
          </w:tcPr>
          <w:p w14:paraId="70FB2AD7" w14:textId="77777777" w:rsidR="008E0426" w:rsidRDefault="008E0426">
            <w:pPr>
              <w:pStyle w:val="bmdsTblHeader"/>
              <w:jc w:val="center"/>
            </w:pPr>
            <w:proofErr w:type="spellStart"/>
            <w:r>
              <w:t>BMD</w:t>
            </w:r>
            <w:r>
              <w:rPr>
                <w:sz w:val="16"/>
                <w:vertAlign w:val="subscript"/>
              </w:rPr>
              <w:t>1Std</w:t>
            </w:r>
            <w:proofErr w:type="spellEnd"/>
            <w:r>
              <w:t xml:space="preserve"> (</w:t>
            </w:r>
            <w:proofErr w:type="spellStart"/>
            <w:r>
              <w:t>BMD</w:t>
            </w:r>
            <w:r>
              <w:rPr>
                <w:vertAlign w:val="subscript"/>
              </w:rPr>
              <w:t>L</w:t>
            </w:r>
            <w:r>
              <w:rPr>
                <w:sz w:val="16"/>
                <w:vertAlign w:val="subscript"/>
              </w:rPr>
              <w:t>1std</w:t>
            </w:r>
            <w:r>
              <w:t>-BMD</w:t>
            </w:r>
            <w:r>
              <w:rPr>
                <w:vertAlign w:val="subscript"/>
              </w:rPr>
              <w:t>U1std</w:t>
            </w:r>
            <w:proofErr w:type="spellEnd"/>
            <w:r>
              <w:t>) in mg/kg</w:t>
            </w:r>
          </w:p>
        </w:tc>
        <w:tc>
          <w:tcPr>
            <w:tcW w:w="1476" w:type="dxa"/>
            <w:tcBorders>
              <w:top w:val="single" w:sz="2" w:space="0" w:color="000000"/>
              <w:left w:val="nil"/>
              <w:bottom w:val="single" w:sz="2" w:space="0" w:color="000000"/>
              <w:right w:val="nil"/>
            </w:tcBorders>
            <w:vAlign w:val="center"/>
            <w:hideMark/>
          </w:tcPr>
          <w:p w14:paraId="6EA77609" w14:textId="77777777" w:rsidR="008E0426" w:rsidRDefault="008E0426">
            <w:pPr>
              <w:pStyle w:val="bmdsTblHeader"/>
              <w:jc w:val="center"/>
            </w:pPr>
            <w:r>
              <w:t>Maximum Fold Change</w:t>
            </w:r>
          </w:p>
        </w:tc>
        <w:tc>
          <w:tcPr>
            <w:tcW w:w="1520" w:type="dxa"/>
            <w:tcBorders>
              <w:top w:val="single" w:sz="2" w:space="0" w:color="000000"/>
              <w:left w:val="nil"/>
              <w:bottom w:val="single" w:sz="2" w:space="0" w:color="000000"/>
              <w:right w:val="nil"/>
            </w:tcBorders>
            <w:vAlign w:val="center"/>
            <w:hideMark/>
          </w:tcPr>
          <w:p w14:paraId="296821E5" w14:textId="77777777" w:rsidR="008E0426" w:rsidRDefault="008E0426">
            <w:pPr>
              <w:pStyle w:val="bmdsTblHeader"/>
              <w:jc w:val="center"/>
            </w:pPr>
            <w:r>
              <w:t>Direction of Expression Change</w:t>
            </w:r>
          </w:p>
        </w:tc>
      </w:tr>
      <w:tr w:rsidR="008E0426" w14:paraId="40A2BE0A" w14:textId="77777777" w:rsidTr="008E0426">
        <w:tc>
          <w:tcPr>
            <w:tcW w:w="1940" w:type="dxa"/>
            <w:vAlign w:val="center"/>
            <w:hideMark/>
          </w:tcPr>
          <w:p w14:paraId="7AAF2F3C" w14:textId="77777777" w:rsidR="008E0426" w:rsidRDefault="008E0426">
            <w:pPr>
              <w:pStyle w:val="bmdsTblBody"/>
            </w:pPr>
            <w:proofErr w:type="spellStart"/>
            <w:r>
              <w:rPr>
                <w:b/>
              </w:rPr>
              <w:t>abcc3</w:t>
            </w:r>
            <w:proofErr w:type="spellEnd"/>
          </w:p>
        </w:tc>
        <w:tc>
          <w:tcPr>
            <w:tcW w:w="1237" w:type="dxa"/>
            <w:vAlign w:val="center"/>
            <w:hideMark/>
          </w:tcPr>
          <w:p w14:paraId="2DB40875" w14:textId="77777777" w:rsidR="008E0426" w:rsidRDefault="008E0426">
            <w:pPr>
              <w:pStyle w:val="bmdsTblBody"/>
              <w:jc w:val="center"/>
            </w:pPr>
            <w:r>
              <w:rPr>
                <w:sz w:val="16"/>
              </w:rPr>
              <w:t>140668</w:t>
            </w:r>
          </w:p>
        </w:tc>
        <w:tc>
          <w:tcPr>
            <w:tcW w:w="1712" w:type="dxa"/>
            <w:vAlign w:val="center"/>
            <w:hideMark/>
          </w:tcPr>
          <w:p w14:paraId="6EB54D7D" w14:textId="77777777" w:rsidR="008E0426" w:rsidRDefault="008E0426">
            <w:pPr>
              <w:pStyle w:val="bmdsTblBody"/>
              <w:jc w:val="center"/>
            </w:pPr>
            <w:r>
              <w:rPr>
                <w:sz w:val="16"/>
              </w:rPr>
              <w:t>ABCC3_7941</w:t>
            </w:r>
          </w:p>
        </w:tc>
        <w:tc>
          <w:tcPr>
            <w:tcW w:w="1475" w:type="dxa"/>
            <w:vAlign w:val="center"/>
            <w:hideMark/>
          </w:tcPr>
          <w:p w14:paraId="3C6A9E36" w14:textId="77777777" w:rsidR="008E0426" w:rsidRDefault="008E0426">
            <w:pPr>
              <w:pStyle w:val="bmdsTblBody"/>
              <w:jc w:val="center"/>
            </w:pPr>
            <w:r>
              <w:rPr>
                <w:sz w:val="16"/>
              </w:rPr>
              <w:t>5.019 (2.945-9.451)</w:t>
            </w:r>
          </w:p>
        </w:tc>
        <w:tc>
          <w:tcPr>
            <w:tcW w:w="1476" w:type="dxa"/>
            <w:vAlign w:val="center"/>
            <w:hideMark/>
          </w:tcPr>
          <w:p w14:paraId="61444360" w14:textId="77777777" w:rsidR="008E0426" w:rsidRDefault="008E0426">
            <w:pPr>
              <w:pStyle w:val="bmdsTblBody"/>
              <w:jc w:val="center"/>
            </w:pPr>
            <w:r>
              <w:rPr>
                <w:sz w:val="16"/>
              </w:rPr>
              <w:t>3.5</w:t>
            </w:r>
          </w:p>
        </w:tc>
        <w:tc>
          <w:tcPr>
            <w:tcW w:w="1520" w:type="dxa"/>
            <w:vAlign w:val="center"/>
            <w:hideMark/>
          </w:tcPr>
          <w:p w14:paraId="12D997D7" w14:textId="77777777" w:rsidR="008E0426" w:rsidRDefault="008E0426">
            <w:pPr>
              <w:pStyle w:val="bmdsTblBody"/>
              <w:jc w:val="center"/>
            </w:pPr>
            <w:r>
              <w:rPr>
                <w:sz w:val="16"/>
              </w:rPr>
              <w:t>UP</w:t>
            </w:r>
          </w:p>
        </w:tc>
      </w:tr>
      <w:tr w:rsidR="008E0426" w14:paraId="0B5DDB4A" w14:textId="77777777" w:rsidTr="008E0426">
        <w:tc>
          <w:tcPr>
            <w:tcW w:w="1940" w:type="dxa"/>
            <w:vAlign w:val="center"/>
            <w:hideMark/>
          </w:tcPr>
          <w:p w14:paraId="3E61628B" w14:textId="77777777" w:rsidR="008E0426" w:rsidRDefault="008E0426">
            <w:pPr>
              <w:pStyle w:val="bmdsTblBody"/>
            </w:pPr>
            <w:proofErr w:type="spellStart"/>
            <w:r>
              <w:rPr>
                <w:b/>
              </w:rPr>
              <w:t>gsta2</w:t>
            </w:r>
            <w:proofErr w:type="spellEnd"/>
          </w:p>
        </w:tc>
        <w:tc>
          <w:tcPr>
            <w:tcW w:w="1237" w:type="dxa"/>
            <w:vAlign w:val="center"/>
            <w:hideMark/>
          </w:tcPr>
          <w:p w14:paraId="390E5154" w14:textId="77777777" w:rsidR="008E0426" w:rsidRDefault="008E0426">
            <w:pPr>
              <w:pStyle w:val="bmdsTblBody"/>
              <w:jc w:val="center"/>
            </w:pPr>
            <w:r>
              <w:rPr>
                <w:sz w:val="16"/>
              </w:rPr>
              <w:t>24422</w:t>
            </w:r>
          </w:p>
        </w:tc>
        <w:tc>
          <w:tcPr>
            <w:tcW w:w="1712" w:type="dxa"/>
            <w:vAlign w:val="center"/>
            <w:hideMark/>
          </w:tcPr>
          <w:p w14:paraId="7552CD64" w14:textId="77777777" w:rsidR="008E0426" w:rsidRDefault="008E0426">
            <w:pPr>
              <w:pStyle w:val="bmdsTblBody"/>
              <w:jc w:val="center"/>
            </w:pPr>
            <w:r>
              <w:rPr>
                <w:sz w:val="16"/>
              </w:rPr>
              <w:t>GSTA2_8756</w:t>
            </w:r>
          </w:p>
        </w:tc>
        <w:tc>
          <w:tcPr>
            <w:tcW w:w="1475" w:type="dxa"/>
            <w:vAlign w:val="center"/>
            <w:hideMark/>
          </w:tcPr>
          <w:p w14:paraId="049E7948" w14:textId="77777777" w:rsidR="008E0426" w:rsidRDefault="008E0426">
            <w:pPr>
              <w:pStyle w:val="bmdsTblBody"/>
              <w:jc w:val="center"/>
            </w:pPr>
            <w:r>
              <w:rPr>
                <w:sz w:val="16"/>
              </w:rPr>
              <w:t>5.153 (2.796-10.815)</w:t>
            </w:r>
          </w:p>
        </w:tc>
        <w:tc>
          <w:tcPr>
            <w:tcW w:w="1476" w:type="dxa"/>
            <w:vAlign w:val="center"/>
            <w:hideMark/>
          </w:tcPr>
          <w:p w14:paraId="4E9F6DB0" w14:textId="77777777" w:rsidR="008E0426" w:rsidRDefault="008E0426">
            <w:pPr>
              <w:pStyle w:val="bmdsTblBody"/>
              <w:jc w:val="center"/>
            </w:pPr>
            <w:r>
              <w:rPr>
                <w:sz w:val="16"/>
              </w:rPr>
              <w:t>2.8</w:t>
            </w:r>
          </w:p>
        </w:tc>
        <w:tc>
          <w:tcPr>
            <w:tcW w:w="1520" w:type="dxa"/>
            <w:vAlign w:val="center"/>
            <w:hideMark/>
          </w:tcPr>
          <w:p w14:paraId="553FCB0F" w14:textId="77777777" w:rsidR="008E0426" w:rsidRDefault="008E0426">
            <w:pPr>
              <w:pStyle w:val="bmdsTblBody"/>
              <w:jc w:val="center"/>
            </w:pPr>
            <w:r>
              <w:rPr>
                <w:sz w:val="16"/>
              </w:rPr>
              <w:t>UP</w:t>
            </w:r>
          </w:p>
        </w:tc>
      </w:tr>
      <w:tr w:rsidR="008E0426" w14:paraId="77D4C666" w14:textId="77777777" w:rsidTr="008E0426">
        <w:tc>
          <w:tcPr>
            <w:tcW w:w="1940" w:type="dxa"/>
            <w:vAlign w:val="center"/>
            <w:hideMark/>
          </w:tcPr>
          <w:p w14:paraId="2AB25B62" w14:textId="77777777" w:rsidR="008E0426" w:rsidRDefault="008E0426">
            <w:pPr>
              <w:pStyle w:val="bmdsTblBody"/>
            </w:pPr>
            <w:proofErr w:type="spellStart"/>
            <w:r>
              <w:rPr>
                <w:b/>
              </w:rPr>
              <w:t>gsta5</w:t>
            </w:r>
            <w:proofErr w:type="spellEnd"/>
          </w:p>
        </w:tc>
        <w:tc>
          <w:tcPr>
            <w:tcW w:w="1237" w:type="dxa"/>
            <w:vAlign w:val="center"/>
            <w:hideMark/>
          </w:tcPr>
          <w:p w14:paraId="17688C9B" w14:textId="77777777" w:rsidR="008E0426" w:rsidRDefault="008E0426">
            <w:pPr>
              <w:pStyle w:val="bmdsTblBody"/>
              <w:jc w:val="center"/>
            </w:pPr>
            <w:r>
              <w:rPr>
                <w:sz w:val="16"/>
              </w:rPr>
              <w:t>494499</w:t>
            </w:r>
          </w:p>
        </w:tc>
        <w:tc>
          <w:tcPr>
            <w:tcW w:w="1712" w:type="dxa"/>
            <w:vAlign w:val="center"/>
            <w:hideMark/>
          </w:tcPr>
          <w:p w14:paraId="20E6CD29" w14:textId="77777777" w:rsidR="008E0426" w:rsidRDefault="008E0426">
            <w:pPr>
              <w:pStyle w:val="bmdsTblBody"/>
              <w:jc w:val="center"/>
            </w:pPr>
            <w:r>
              <w:rPr>
                <w:sz w:val="16"/>
              </w:rPr>
              <w:t>GSTA2_8756</w:t>
            </w:r>
          </w:p>
        </w:tc>
        <w:tc>
          <w:tcPr>
            <w:tcW w:w="1475" w:type="dxa"/>
            <w:vAlign w:val="center"/>
            <w:hideMark/>
          </w:tcPr>
          <w:p w14:paraId="51594FDF" w14:textId="77777777" w:rsidR="008E0426" w:rsidRDefault="008E0426">
            <w:pPr>
              <w:pStyle w:val="bmdsTblBody"/>
              <w:jc w:val="center"/>
            </w:pPr>
            <w:r>
              <w:rPr>
                <w:sz w:val="16"/>
              </w:rPr>
              <w:t>5.153 (2.796-10.815)</w:t>
            </w:r>
          </w:p>
        </w:tc>
        <w:tc>
          <w:tcPr>
            <w:tcW w:w="1476" w:type="dxa"/>
            <w:vAlign w:val="center"/>
            <w:hideMark/>
          </w:tcPr>
          <w:p w14:paraId="6A59FDC5" w14:textId="77777777" w:rsidR="008E0426" w:rsidRDefault="008E0426">
            <w:pPr>
              <w:pStyle w:val="bmdsTblBody"/>
              <w:jc w:val="center"/>
            </w:pPr>
            <w:r>
              <w:rPr>
                <w:sz w:val="16"/>
              </w:rPr>
              <w:t>2.8</w:t>
            </w:r>
          </w:p>
        </w:tc>
        <w:tc>
          <w:tcPr>
            <w:tcW w:w="1520" w:type="dxa"/>
            <w:vAlign w:val="center"/>
            <w:hideMark/>
          </w:tcPr>
          <w:p w14:paraId="19694DA7" w14:textId="77777777" w:rsidR="008E0426" w:rsidRDefault="008E0426">
            <w:pPr>
              <w:pStyle w:val="bmdsTblBody"/>
              <w:jc w:val="center"/>
            </w:pPr>
            <w:r>
              <w:rPr>
                <w:sz w:val="16"/>
              </w:rPr>
              <w:t>UP</w:t>
            </w:r>
          </w:p>
        </w:tc>
      </w:tr>
      <w:tr w:rsidR="008E0426" w14:paraId="744E2695" w14:textId="77777777" w:rsidTr="008E0426">
        <w:tc>
          <w:tcPr>
            <w:tcW w:w="1940" w:type="dxa"/>
            <w:vAlign w:val="center"/>
            <w:hideMark/>
          </w:tcPr>
          <w:p w14:paraId="38CC22E1" w14:textId="77777777" w:rsidR="008E0426" w:rsidRDefault="008E0426">
            <w:pPr>
              <w:pStyle w:val="bmdsTblBody"/>
            </w:pPr>
            <w:proofErr w:type="spellStart"/>
            <w:r>
              <w:rPr>
                <w:b/>
              </w:rPr>
              <w:t>ephx1</w:t>
            </w:r>
            <w:proofErr w:type="spellEnd"/>
          </w:p>
        </w:tc>
        <w:tc>
          <w:tcPr>
            <w:tcW w:w="1237" w:type="dxa"/>
            <w:vAlign w:val="center"/>
            <w:hideMark/>
          </w:tcPr>
          <w:p w14:paraId="0A62D3E7" w14:textId="77777777" w:rsidR="008E0426" w:rsidRDefault="008E0426">
            <w:pPr>
              <w:pStyle w:val="bmdsTblBody"/>
              <w:jc w:val="center"/>
            </w:pPr>
            <w:r>
              <w:rPr>
                <w:sz w:val="16"/>
              </w:rPr>
              <w:t>25315</w:t>
            </w:r>
          </w:p>
        </w:tc>
        <w:tc>
          <w:tcPr>
            <w:tcW w:w="1712" w:type="dxa"/>
            <w:vAlign w:val="center"/>
            <w:hideMark/>
          </w:tcPr>
          <w:p w14:paraId="0C68074F" w14:textId="77777777" w:rsidR="008E0426" w:rsidRDefault="008E0426">
            <w:pPr>
              <w:pStyle w:val="bmdsTblBody"/>
              <w:jc w:val="center"/>
            </w:pPr>
            <w:r>
              <w:rPr>
                <w:sz w:val="16"/>
              </w:rPr>
              <w:t>EPHX1_8567</w:t>
            </w:r>
          </w:p>
        </w:tc>
        <w:tc>
          <w:tcPr>
            <w:tcW w:w="1475" w:type="dxa"/>
            <w:vAlign w:val="center"/>
            <w:hideMark/>
          </w:tcPr>
          <w:p w14:paraId="0DED12A1" w14:textId="77777777" w:rsidR="008E0426" w:rsidRDefault="008E0426">
            <w:pPr>
              <w:pStyle w:val="bmdsTblBody"/>
              <w:jc w:val="center"/>
            </w:pPr>
            <w:r>
              <w:rPr>
                <w:sz w:val="16"/>
              </w:rPr>
              <w:t>5.233 (3.072-9.586)</w:t>
            </w:r>
          </w:p>
        </w:tc>
        <w:tc>
          <w:tcPr>
            <w:tcW w:w="1476" w:type="dxa"/>
            <w:vAlign w:val="center"/>
            <w:hideMark/>
          </w:tcPr>
          <w:p w14:paraId="5AF0756A" w14:textId="77777777" w:rsidR="008E0426" w:rsidRDefault="008E0426">
            <w:pPr>
              <w:pStyle w:val="bmdsTblBody"/>
              <w:jc w:val="center"/>
            </w:pPr>
            <w:r>
              <w:rPr>
                <w:sz w:val="16"/>
              </w:rPr>
              <w:t>3.8</w:t>
            </w:r>
          </w:p>
        </w:tc>
        <w:tc>
          <w:tcPr>
            <w:tcW w:w="1520" w:type="dxa"/>
            <w:vAlign w:val="center"/>
            <w:hideMark/>
          </w:tcPr>
          <w:p w14:paraId="55D555EC" w14:textId="77777777" w:rsidR="008E0426" w:rsidRDefault="008E0426">
            <w:pPr>
              <w:pStyle w:val="bmdsTblBody"/>
              <w:jc w:val="center"/>
            </w:pPr>
            <w:r>
              <w:rPr>
                <w:sz w:val="16"/>
              </w:rPr>
              <w:t>UP</w:t>
            </w:r>
          </w:p>
        </w:tc>
      </w:tr>
      <w:tr w:rsidR="008E0426" w14:paraId="75E7F95B" w14:textId="77777777" w:rsidTr="008E0426">
        <w:tc>
          <w:tcPr>
            <w:tcW w:w="1940" w:type="dxa"/>
            <w:vAlign w:val="center"/>
            <w:hideMark/>
          </w:tcPr>
          <w:p w14:paraId="752B18E3" w14:textId="77777777" w:rsidR="008E0426" w:rsidRDefault="008E0426">
            <w:pPr>
              <w:pStyle w:val="bmdsTblBody"/>
            </w:pPr>
            <w:proofErr w:type="spellStart"/>
            <w:r>
              <w:rPr>
                <w:b/>
              </w:rPr>
              <w:t>akr7a3</w:t>
            </w:r>
            <w:proofErr w:type="spellEnd"/>
          </w:p>
        </w:tc>
        <w:tc>
          <w:tcPr>
            <w:tcW w:w="1237" w:type="dxa"/>
            <w:vAlign w:val="center"/>
            <w:hideMark/>
          </w:tcPr>
          <w:p w14:paraId="1166B8ED" w14:textId="77777777" w:rsidR="008E0426" w:rsidRDefault="008E0426">
            <w:pPr>
              <w:pStyle w:val="bmdsTblBody"/>
              <w:jc w:val="center"/>
            </w:pPr>
            <w:r>
              <w:rPr>
                <w:sz w:val="16"/>
              </w:rPr>
              <w:t>26760</w:t>
            </w:r>
          </w:p>
        </w:tc>
        <w:tc>
          <w:tcPr>
            <w:tcW w:w="1712" w:type="dxa"/>
            <w:vAlign w:val="center"/>
            <w:hideMark/>
          </w:tcPr>
          <w:p w14:paraId="2CD10456" w14:textId="77777777" w:rsidR="008E0426" w:rsidRDefault="008E0426">
            <w:pPr>
              <w:pStyle w:val="bmdsTblBody"/>
              <w:jc w:val="center"/>
            </w:pPr>
            <w:r>
              <w:rPr>
                <w:sz w:val="16"/>
              </w:rPr>
              <w:t>AKR7A3_8015</w:t>
            </w:r>
          </w:p>
        </w:tc>
        <w:tc>
          <w:tcPr>
            <w:tcW w:w="1475" w:type="dxa"/>
            <w:vAlign w:val="center"/>
            <w:hideMark/>
          </w:tcPr>
          <w:p w14:paraId="69A01F79" w14:textId="77777777" w:rsidR="008E0426" w:rsidRDefault="008E0426">
            <w:pPr>
              <w:pStyle w:val="bmdsTblBody"/>
              <w:jc w:val="center"/>
            </w:pPr>
            <w:r>
              <w:rPr>
                <w:sz w:val="16"/>
              </w:rPr>
              <w:t>5.348 (3.082-10.631)</w:t>
            </w:r>
          </w:p>
        </w:tc>
        <w:tc>
          <w:tcPr>
            <w:tcW w:w="1476" w:type="dxa"/>
            <w:vAlign w:val="center"/>
            <w:hideMark/>
          </w:tcPr>
          <w:p w14:paraId="3EE442B1" w14:textId="77777777" w:rsidR="008E0426" w:rsidRDefault="008E0426">
            <w:pPr>
              <w:pStyle w:val="bmdsTblBody"/>
              <w:jc w:val="center"/>
            </w:pPr>
            <w:r>
              <w:rPr>
                <w:sz w:val="16"/>
              </w:rPr>
              <w:t>5.7</w:t>
            </w:r>
          </w:p>
        </w:tc>
        <w:tc>
          <w:tcPr>
            <w:tcW w:w="1520" w:type="dxa"/>
            <w:vAlign w:val="center"/>
            <w:hideMark/>
          </w:tcPr>
          <w:p w14:paraId="55DF630E" w14:textId="77777777" w:rsidR="008E0426" w:rsidRDefault="008E0426">
            <w:pPr>
              <w:pStyle w:val="bmdsTblBody"/>
              <w:jc w:val="center"/>
            </w:pPr>
            <w:r>
              <w:rPr>
                <w:sz w:val="16"/>
              </w:rPr>
              <w:t>UP</w:t>
            </w:r>
          </w:p>
        </w:tc>
      </w:tr>
      <w:tr w:rsidR="008E0426" w14:paraId="6943A701" w14:textId="77777777" w:rsidTr="008E0426">
        <w:tc>
          <w:tcPr>
            <w:tcW w:w="1940" w:type="dxa"/>
            <w:vAlign w:val="center"/>
            <w:hideMark/>
          </w:tcPr>
          <w:p w14:paraId="5F562020" w14:textId="77777777" w:rsidR="008E0426" w:rsidRDefault="008E0426">
            <w:pPr>
              <w:pStyle w:val="bmdsTblBody"/>
            </w:pPr>
            <w:proofErr w:type="spellStart"/>
            <w:r>
              <w:rPr>
                <w:b/>
              </w:rPr>
              <w:t>ehhadh</w:t>
            </w:r>
            <w:proofErr w:type="spellEnd"/>
          </w:p>
        </w:tc>
        <w:tc>
          <w:tcPr>
            <w:tcW w:w="1237" w:type="dxa"/>
            <w:vAlign w:val="center"/>
            <w:hideMark/>
          </w:tcPr>
          <w:p w14:paraId="061B6670" w14:textId="77777777" w:rsidR="008E0426" w:rsidRDefault="008E0426">
            <w:pPr>
              <w:pStyle w:val="bmdsTblBody"/>
              <w:jc w:val="center"/>
            </w:pPr>
            <w:r>
              <w:rPr>
                <w:sz w:val="16"/>
              </w:rPr>
              <w:t>171142</w:t>
            </w:r>
          </w:p>
        </w:tc>
        <w:tc>
          <w:tcPr>
            <w:tcW w:w="1712" w:type="dxa"/>
            <w:vAlign w:val="center"/>
            <w:hideMark/>
          </w:tcPr>
          <w:p w14:paraId="64357EFF" w14:textId="77777777" w:rsidR="008E0426" w:rsidRDefault="008E0426">
            <w:pPr>
              <w:pStyle w:val="bmdsTblBody"/>
              <w:jc w:val="center"/>
            </w:pPr>
            <w:r>
              <w:rPr>
                <w:sz w:val="16"/>
              </w:rPr>
              <w:t>EHHADH_8534</w:t>
            </w:r>
          </w:p>
        </w:tc>
        <w:tc>
          <w:tcPr>
            <w:tcW w:w="1475" w:type="dxa"/>
            <w:vAlign w:val="center"/>
            <w:hideMark/>
          </w:tcPr>
          <w:p w14:paraId="7355F232" w14:textId="77777777" w:rsidR="008E0426" w:rsidRDefault="008E0426">
            <w:pPr>
              <w:pStyle w:val="bmdsTblBody"/>
              <w:jc w:val="center"/>
            </w:pPr>
            <w:r>
              <w:rPr>
                <w:sz w:val="16"/>
              </w:rPr>
              <w:t>5.355 (3.108-9.861)</w:t>
            </w:r>
          </w:p>
        </w:tc>
        <w:tc>
          <w:tcPr>
            <w:tcW w:w="1476" w:type="dxa"/>
            <w:vAlign w:val="center"/>
            <w:hideMark/>
          </w:tcPr>
          <w:p w14:paraId="43396824" w14:textId="77777777" w:rsidR="008E0426" w:rsidRDefault="008E0426">
            <w:pPr>
              <w:pStyle w:val="bmdsTblBody"/>
              <w:jc w:val="center"/>
            </w:pPr>
            <w:r>
              <w:rPr>
                <w:sz w:val="16"/>
              </w:rPr>
              <w:t>2.2</w:t>
            </w:r>
          </w:p>
        </w:tc>
        <w:tc>
          <w:tcPr>
            <w:tcW w:w="1520" w:type="dxa"/>
            <w:vAlign w:val="center"/>
            <w:hideMark/>
          </w:tcPr>
          <w:p w14:paraId="0C5D1036" w14:textId="77777777" w:rsidR="008E0426" w:rsidRDefault="008E0426">
            <w:pPr>
              <w:pStyle w:val="bmdsTblBody"/>
              <w:jc w:val="center"/>
            </w:pPr>
            <w:r>
              <w:rPr>
                <w:sz w:val="16"/>
              </w:rPr>
              <w:t>UP</w:t>
            </w:r>
          </w:p>
        </w:tc>
      </w:tr>
      <w:tr w:rsidR="008E0426" w14:paraId="5C14B526" w14:textId="77777777" w:rsidTr="008E0426">
        <w:tc>
          <w:tcPr>
            <w:tcW w:w="1940" w:type="dxa"/>
            <w:vAlign w:val="center"/>
            <w:hideMark/>
          </w:tcPr>
          <w:p w14:paraId="636AC4D3" w14:textId="77777777" w:rsidR="008E0426" w:rsidRDefault="008E0426">
            <w:pPr>
              <w:pStyle w:val="bmdsTblBody"/>
            </w:pPr>
            <w:proofErr w:type="spellStart"/>
            <w:r>
              <w:rPr>
                <w:b/>
              </w:rPr>
              <w:t>pir</w:t>
            </w:r>
            <w:proofErr w:type="spellEnd"/>
          </w:p>
        </w:tc>
        <w:tc>
          <w:tcPr>
            <w:tcW w:w="1237" w:type="dxa"/>
            <w:vAlign w:val="center"/>
            <w:hideMark/>
          </w:tcPr>
          <w:p w14:paraId="120DCF56" w14:textId="77777777" w:rsidR="008E0426" w:rsidRDefault="008E0426">
            <w:pPr>
              <w:pStyle w:val="bmdsTblBody"/>
              <w:jc w:val="center"/>
            </w:pPr>
            <w:r>
              <w:rPr>
                <w:sz w:val="16"/>
              </w:rPr>
              <w:t>363465</w:t>
            </w:r>
          </w:p>
        </w:tc>
        <w:tc>
          <w:tcPr>
            <w:tcW w:w="1712" w:type="dxa"/>
            <w:vAlign w:val="center"/>
            <w:hideMark/>
          </w:tcPr>
          <w:p w14:paraId="36D7D34F" w14:textId="77777777" w:rsidR="008E0426" w:rsidRDefault="008E0426">
            <w:pPr>
              <w:pStyle w:val="bmdsTblBody"/>
              <w:jc w:val="center"/>
            </w:pPr>
            <w:r>
              <w:rPr>
                <w:sz w:val="16"/>
              </w:rPr>
              <w:t>PIR_9487</w:t>
            </w:r>
          </w:p>
        </w:tc>
        <w:tc>
          <w:tcPr>
            <w:tcW w:w="1475" w:type="dxa"/>
            <w:vAlign w:val="center"/>
            <w:hideMark/>
          </w:tcPr>
          <w:p w14:paraId="10D258F7" w14:textId="77777777" w:rsidR="008E0426" w:rsidRDefault="008E0426">
            <w:pPr>
              <w:pStyle w:val="bmdsTblBody"/>
              <w:jc w:val="center"/>
            </w:pPr>
            <w:r>
              <w:rPr>
                <w:sz w:val="16"/>
              </w:rPr>
              <w:t>6.124 (2.642-15.294)</w:t>
            </w:r>
          </w:p>
        </w:tc>
        <w:tc>
          <w:tcPr>
            <w:tcW w:w="1476" w:type="dxa"/>
            <w:vAlign w:val="center"/>
            <w:hideMark/>
          </w:tcPr>
          <w:p w14:paraId="70ABB858" w14:textId="77777777" w:rsidR="008E0426" w:rsidRDefault="008E0426">
            <w:pPr>
              <w:pStyle w:val="bmdsTblBody"/>
              <w:jc w:val="center"/>
            </w:pPr>
            <w:r>
              <w:rPr>
                <w:sz w:val="16"/>
              </w:rPr>
              <w:t>2.8</w:t>
            </w:r>
          </w:p>
        </w:tc>
        <w:tc>
          <w:tcPr>
            <w:tcW w:w="1520" w:type="dxa"/>
            <w:vAlign w:val="center"/>
            <w:hideMark/>
          </w:tcPr>
          <w:p w14:paraId="06CC0627" w14:textId="77777777" w:rsidR="008E0426" w:rsidRDefault="008E0426">
            <w:pPr>
              <w:pStyle w:val="bmdsTblBody"/>
              <w:jc w:val="center"/>
            </w:pPr>
            <w:r>
              <w:rPr>
                <w:sz w:val="16"/>
              </w:rPr>
              <w:t>UP</w:t>
            </w:r>
          </w:p>
        </w:tc>
      </w:tr>
      <w:tr w:rsidR="008E0426" w14:paraId="74C0CBA0" w14:textId="77777777" w:rsidTr="008E0426">
        <w:tc>
          <w:tcPr>
            <w:tcW w:w="1940" w:type="dxa"/>
            <w:vAlign w:val="center"/>
            <w:hideMark/>
          </w:tcPr>
          <w:p w14:paraId="21764860" w14:textId="77777777" w:rsidR="008E0426" w:rsidRDefault="008E0426">
            <w:pPr>
              <w:pStyle w:val="bmdsTblBody"/>
            </w:pPr>
            <w:proofErr w:type="spellStart"/>
            <w:r>
              <w:rPr>
                <w:b/>
              </w:rPr>
              <w:t>gclm</w:t>
            </w:r>
            <w:proofErr w:type="spellEnd"/>
          </w:p>
        </w:tc>
        <w:tc>
          <w:tcPr>
            <w:tcW w:w="1237" w:type="dxa"/>
            <w:vAlign w:val="center"/>
            <w:hideMark/>
          </w:tcPr>
          <w:p w14:paraId="51C34EFC" w14:textId="77777777" w:rsidR="008E0426" w:rsidRDefault="008E0426">
            <w:pPr>
              <w:pStyle w:val="bmdsTblBody"/>
              <w:jc w:val="center"/>
            </w:pPr>
            <w:r>
              <w:rPr>
                <w:sz w:val="16"/>
              </w:rPr>
              <w:t>29739</w:t>
            </w:r>
          </w:p>
        </w:tc>
        <w:tc>
          <w:tcPr>
            <w:tcW w:w="1712" w:type="dxa"/>
            <w:vAlign w:val="center"/>
            <w:hideMark/>
          </w:tcPr>
          <w:p w14:paraId="4CB9F7A8" w14:textId="77777777" w:rsidR="008E0426" w:rsidRDefault="008E0426">
            <w:pPr>
              <w:pStyle w:val="bmdsTblBody"/>
              <w:jc w:val="center"/>
            </w:pPr>
            <w:r>
              <w:rPr>
                <w:sz w:val="16"/>
              </w:rPr>
              <w:t>GCLM_8700</w:t>
            </w:r>
          </w:p>
        </w:tc>
        <w:tc>
          <w:tcPr>
            <w:tcW w:w="1475" w:type="dxa"/>
            <w:vAlign w:val="center"/>
            <w:hideMark/>
          </w:tcPr>
          <w:p w14:paraId="155EC745" w14:textId="77777777" w:rsidR="008E0426" w:rsidRDefault="008E0426">
            <w:pPr>
              <w:pStyle w:val="bmdsTblBody"/>
              <w:jc w:val="center"/>
            </w:pPr>
            <w:r>
              <w:rPr>
                <w:sz w:val="16"/>
              </w:rPr>
              <w:t>8.034 (3.552-19.773)</w:t>
            </w:r>
          </w:p>
        </w:tc>
        <w:tc>
          <w:tcPr>
            <w:tcW w:w="1476" w:type="dxa"/>
            <w:vAlign w:val="center"/>
            <w:hideMark/>
          </w:tcPr>
          <w:p w14:paraId="700F505F" w14:textId="77777777" w:rsidR="008E0426" w:rsidRDefault="008E0426">
            <w:pPr>
              <w:pStyle w:val="bmdsTblBody"/>
              <w:jc w:val="center"/>
            </w:pPr>
            <w:r>
              <w:rPr>
                <w:sz w:val="16"/>
              </w:rPr>
              <w:t>2.1</w:t>
            </w:r>
          </w:p>
        </w:tc>
        <w:tc>
          <w:tcPr>
            <w:tcW w:w="1520" w:type="dxa"/>
            <w:vAlign w:val="center"/>
            <w:hideMark/>
          </w:tcPr>
          <w:p w14:paraId="168B3018" w14:textId="77777777" w:rsidR="008E0426" w:rsidRDefault="008E0426">
            <w:pPr>
              <w:pStyle w:val="bmdsTblBody"/>
              <w:jc w:val="center"/>
            </w:pPr>
            <w:r>
              <w:rPr>
                <w:sz w:val="16"/>
              </w:rPr>
              <w:t>UP</w:t>
            </w:r>
          </w:p>
        </w:tc>
      </w:tr>
      <w:tr w:rsidR="008E0426" w14:paraId="7008D212" w14:textId="77777777" w:rsidTr="008E0426">
        <w:tc>
          <w:tcPr>
            <w:tcW w:w="1940" w:type="dxa"/>
            <w:vAlign w:val="center"/>
            <w:hideMark/>
          </w:tcPr>
          <w:p w14:paraId="2350C132" w14:textId="77777777" w:rsidR="008E0426" w:rsidRDefault="008E0426">
            <w:pPr>
              <w:pStyle w:val="bmdsTblBody"/>
            </w:pPr>
            <w:proofErr w:type="spellStart"/>
            <w:r>
              <w:rPr>
                <w:b/>
              </w:rPr>
              <w:t>dao</w:t>
            </w:r>
            <w:proofErr w:type="spellEnd"/>
          </w:p>
        </w:tc>
        <w:tc>
          <w:tcPr>
            <w:tcW w:w="1237" w:type="dxa"/>
            <w:vAlign w:val="center"/>
            <w:hideMark/>
          </w:tcPr>
          <w:p w14:paraId="6C106F9B" w14:textId="77777777" w:rsidR="008E0426" w:rsidRDefault="008E0426">
            <w:pPr>
              <w:pStyle w:val="bmdsTblBody"/>
              <w:jc w:val="center"/>
            </w:pPr>
            <w:r>
              <w:rPr>
                <w:sz w:val="16"/>
              </w:rPr>
              <w:t>114027</w:t>
            </w:r>
          </w:p>
        </w:tc>
        <w:tc>
          <w:tcPr>
            <w:tcW w:w="1712" w:type="dxa"/>
            <w:vAlign w:val="center"/>
            <w:hideMark/>
          </w:tcPr>
          <w:p w14:paraId="4D968259" w14:textId="77777777" w:rsidR="008E0426" w:rsidRDefault="008E0426">
            <w:pPr>
              <w:pStyle w:val="bmdsTblBody"/>
              <w:jc w:val="center"/>
            </w:pPr>
            <w:r>
              <w:rPr>
                <w:sz w:val="16"/>
              </w:rPr>
              <w:t>DAO_8437</w:t>
            </w:r>
          </w:p>
        </w:tc>
        <w:tc>
          <w:tcPr>
            <w:tcW w:w="1475" w:type="dxa"/>
            <w:vAlign w:val="center"/>
            <w:hideMark/>
          </w:tcPr>
          <w:p w14:paraId="22135FAF" w14:textId="77777777" w:rsidR="008E0426" w:rsidRDefault="008E0426">
            <w:pPr>
              <w:pStyle w:val="bmdsTblBody"/>
              <w:jc w:val="center"/>
            </w:pPr>
            <w:r>
              <w:rPr>
                <w:sz w:val="16"/>
              </w:rPr>
              <w:t>8.071 (2.669-26.141)</w:t>
            </w:r>
          </w:p>
        </w:tc>
        <w:tc>
          <w:tcPr>
            <w:tcW w:w="1476" w:type="dxa"/>
            <w:vAlign w:val="center"/>
            <w:hideMark/>
          </w:tcPr>
          <w:p w14:paraId="5C4A7DC3" w14:textId="77777777" w:rsidR="008E0426" w:rsidRDefault="008E0426">
            <w:pPr>
              <w:pStyle w:val="bmdsTblBody"/>
              <w:jc w:val="center"/>
            </w:pPr>
            <w:r>
              <w:rPr>
                <w:sz w:val="16"/>
              </w:rPr>
              <w:t>2.1</w:t>
            </w:r>
          </w:p>
        </w:tc>
        <w:tc>
          <w:tcPr>
            <w:tcW w:w="1520" w:type="dxa"/>
            <w:vAlign w:val="center"/>
            <w:hideMark/>
          </w:tcPr>
          <w:p w14:paraId="30C77CBB" w14:textId="77777777" w:rsidR="008E0426" w:rsidRDefault="008E0426">
            <w:pPr>
              <w:pStyle w:val="bmdsTblBody"/>
              <w:jc w:val="center"/>
            </w:pPr>
            <w:r>
              <w:rPr>
                <w:sz w:val="16"/>
              </w:rPr>
              <w:t>UP</w:t>
            </w:r>
          </w:p>
        </w:tc>
      </w:tr>
      <w:tr w:rsidR="008E0426" w14:paraId="1AD330EF" w14:textId="77777777" w:rsidTr="008E0426">
        <w:tc>
          <w:tcPr>
            <w:tcW w:w="1940" w:type="dxa"/>
            <w:tcBorders>
              <w:top w:val="nil"/>
              <w:left w:val="nil"/>
              <w:bottom w:val="single" w:sz="2" w:space="0" w:color="000000"/>
              <w:right w:val="nil"/>
            </w:tcBorders>
            <w:vAlign w:val="center"/>
            <w:hideMark/>
          </w:tcPr>
          <w:p w14:paraId="1D6FE8F6" w14:textId="77777777" w:rsidR="008E0426" w:rsidRDefault="008E0426">
            <w:pPr>
              <w:pStyle w:val="bmdsTblBody"/>
            </w:pPr>
            <w:proofErr w:type="spellStart"/>
            <w:r>
              <w:rPr>
                <w:b/>
              </w:rPr>
              <w:t>me1</w:t>
            </w:r>
            <w:proofErr w:type="spellEnd"/>
          </w:p>
        </w:tc>
        <w:tc>
          <w:tcPr>
            <w:tcW w:w="1237" w:type="dxa"/>
            <w:tcBorders>
              <w:top w:val="nil"/>
              <w:left w:val="nil"/>
              <w:bottom w:val="single" w:sz="2" w:space="0" w:color="000000"/>
              <w:right w:val="nil"/>
            </w:tcBorders>
            <w:vAlign w:val="center"/>
            <w:hideMark/>
          </w:tcPr>
          <w:p w14:paraId="6948F8E9" w14:textId="77777777" w:rsidR="008E0426" w:rsidRDefault="008E0426">
            <w:pPr>
              <w:pStyle w:val="bmdsTblBody"/>
              <w:jc w:val="center"/>
            </w:pPr>
            <w:r>
              <w:rPr>
                <w:sz w:val="16"/>
              </w:rPr>
              <w:t>24552</w:t>
            </w:r>
          </w:p>
        </w:tc>
        <w:tc>
          <w:tcPr>
            <w:tcW w:w="1712" w:type="dxa"/>
            <w:tcBorders>
              <w:top w:val="nil"/>
              <w:left w:val="nil"/>
              <w:bottom w:val="single" w:sz="2" w:space="0" w:color="000000"/>
              <w:right w:val="nil"/>
            </w:tcBorders>
            <w:vAlign w:val="center"/>
            <w:hideMark/>
          </w:tcPr>
          <w:p w14:paraId="2F81F0CA" w14:textId="77777777" w:rsidR="008E0426" w:rsidRDefault="008E0426">
            <w:pPr>
              <w:pStyle w:val="bmdsTblBody"/>
              <w:jc w:val="center"/>
            </w:pPr>
            <w:r>
              <w:rPr>
                <w:sz w:val="16"/>
              </w:rPr>
              <w:t>ME1_9215</w:t>
            </w:r>
          </w:p>
        </w:tc>
        <w:tc>
          <w:tcPr>
            <w:tcW w:w="1475" w:type="dxa"/>
            <w:tcBorders>
              <w:top w:val="nil"/>
              <w:left w:val="nil"/>
              <w:bottom w:val="single" w:sz="2" w:space="0" w:color="000000"/>
              <w:right w:val="nil"/>
            </w:tcBorders>
            <w:vAlign w:val="center"/>
            <w:hideMark/>
          </w:tcPr>
          <w:p w14:paraId="26FF4FAC" w14:textId="77777777" w:rsidR="008E0426" w:rsidRDefault="008E0426">
            <w:pPr>
              <w:pStyle w:val="bmdsTblBody"/>
              <w:jc w:val="center"/>
            </w:pPr>
            <w:r>
              <w:rPr>
                <w:sz w:val="16"/>
              </w:rPr>
              <w:t>8.192 (2.618-30.949)</w:t>
            </w:r>
          </w:p>
        </w:tc>
        <w:tc>
          <w:tcPr>
            <w:tcW w:w="1476" w:type="dxa"/>
            <w:tcBorders>
              <w:top w:val="nil"/>
              <w:left w:val="nil"/>
              <w:bottom w:val="single" w:sz="2" w:space="0" w:color="000000"/>
              <w:right w:val="nil"/>
            </w:tcBorders>
            <w:vAlign w:val="center"/>
            <w:hideMark/>
          </w:tcPr>
          <w:p w14:paraId="2BA04E9B" w14:textId="77777777" w:rsidR="008E0426" w:rsidRDefault="008E0426">
            <w:pPr>
              <w:pStyle w:val="bmdsTblBody"/>
              <w:jc w:val="center"/>
            </w:pPr>
            <w:r>
              <w:rPr>
                <w:sz w:val="16"/>
              </w:rPr>
              <w:t>2.3</w:t>
            </w:r>
          </w:p>
        </w:tc>
        <w:tc>
          <w:tcPr>
            <w:tcW w:w="1520" w:type="dxa"/>
            <w:tcBorders>
              <w:top w:val="nil"/>
              <w:left w:val="nil"/>
              <w:bottom w:val="single" w:sz="2" w:space="0" w:color="000000"/>
              <w:right w:val="nil"/>
            </w:tcBorders>
            <w:vAlign w:val="center"/>
            <w:hideMark/>
          </w:tcPr>
          <w:p w14:paraId="3FF450F9" w14:textId="77777777" w:rsidR="008E0426" w:rsidRDefault="008E0426">
            <w:pPr>
              <w:pStyle w:val="bmdsTblBody"/>
              <w:jc w:val="center"/>
            </w:pPr>
            <w:r>
              <w:rPr>
                <w:sz w:val="16"/>
              </w:rPr>
              <w:t>UP</w:t>
            </w:r>
          </w:p>
        </w:tc>
      </w:tr>
    </w:tbl>
    <w:p w14:paraId="3308F773" w14:textId="77777777" w:rsidR="008E0426" w:rsidRDefault="008E0426" w:rsidP="008E0426">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Descriptions of orthologous human genes are shown due to the increased detail that is available in public resources such as </w:t>
      </w:r>
      <w:proofErr w:type="spellStart"/>
      <w:r>
        <w:rPr>
          <w:rFonts w:ascii="Times New Roman" w:hAnsi="Times New Roman" w:cs="Times New Roman"/>
          <w:color w:val="000000" w:themeColor="text1"/>
          <w:sz w:val="18"/>
          <w:szCs w:val="18"/>
        </w:rPr>
        <w:t>UniprotKB</w:t>
      </w:r>
      <w:proofErr w:type="spellEnd"/>
      <w:r>
        <w:rPr>
          <w:rFonts w:ascii="Times New Roman" w:hAnsi="Times New Roman" w:cs="Times New Roman"/>
          <w:color w:val="000000" w:themeColor="text1"/>
          <w:sz w:val="18"/>
          <w:szCs w:val="18"/>
        </w:rPr>
        <w:t xml:space="preserve"> (</w:t>
      </w:r>
      <w:hyperlink r:id="rId6" w:history="1">
        <w:r>
          <w:rPr>
            <w:rStyle w:val="Hyperlink"/>
            <w:rFonts w:ascii="Times New Roman" w:hAnsi="Times New Roman" w:cs="Times New Roman"/>
            <w:sz w:val="18"/>
            <w:szCs w:val="18"/>
          </w:rPr>
          <w:t>https://www.uniprot.org/uniprot/</w:t>
        </w:r>
      </w:hyperlink>
      <w:r>
        <w:rPr>
          <w:rFonts w:ascii="Times New Roman" w:hAnsi="Times New Roman" w:cs="Times New Roman"/>
          <w:color w:val="000000" w:themeColor="text1"/>
          <w:sz w:val="18"/>
          <w:szCs w:val="18"/>
        </w:rPr>
        <w:t>) and Entrez Gene (</w:t>
      </w:r>
      <w:hyperlink r:id="rId7" w:history="1">
        <w:r>
          <w:rPr>
            <w:rStyle w:val="Hyperlink"/>
            <w:rFonts w:ascii="Times New Roman" w:hAnsi="Times New Roman" w:cs="Times New Roman"/>
            <w:sz w:val="18"/>
            <w:szCs w:val="18"/>
          </w:rPr>
          <w:t>https://www.ncbi.nlm.nih.gov/gene/</w:t>
        </w:r>
      </w:hyperlink>
      <w:r>
        <w:rPr>
          <w:rFonts w:ascii="Times New Roman" w:hAnsi="Times New Roman" w:cs="Times New Roman"/>
          <w:color w:val="000000" w:themeColor="text1"/>
          <w:sz w:val="18"/>
          <w:szCs w:val="18"/>
        </w:rPr>
        <w:t xml:space="preserve">). Human </w:t>
      </w:r>
      <w:proofErr w:type="spellStart"/>
      <w:r>
        <w:rPr>
          <w:rFonts w:ascii="Times New Roman" w:hAnsi="Times New Roman" w:cs="Times New Roman"/>
          <w:color w:val="000000" w:themeColor="text1"/>
          <w:sz w:val="18"/>
          <w:szCs w:val="18"/>
        </w:rPr>
        <w:t>UniprotKB</w:t>
      </w:r>
      <w:proofErr w:type="spellEnd"/>
      <w:r>
        <w:rPr>
          <w:rFonts w:ascii="Times New Roman" w:hAnsi="Times New Roman" w:cs="Times New Roman"/>
          <w:color w:val="000000" w:themeColor="text1"/>
          <w:sz w:val="18"/>
          <w:szCs w:val="18"/>
        </w:rPr>
        <w:t xml:space="preserve"> was used as primary resource due to the greater breadth of annotation and depth of functional detail that is provided. Rat </w:t>
      </w:r>
      <w:proofErr w:type="spellStart"/>
      <w:r>
        <w:rPr>
          <w:rFonts w:ascii="Times New Roman" w:hAnsi="Times New Roman" w:cs="Times New Roman"/>
          <w:color w:val="000000" w:themeColor="text1"/>
          <w:sz w:val="18"/>
          <w:szCs w:val="18"/>
        </w:rPr>
        <w:t>UniprotKB</w:t>
      </w:r>
      <w:proofErr w:type="spellEnd"/>
      <w:r>
        <w:rPr>
          <w:rFonts w:ascii="Times New Roman" w:hAnsi="Times New Roman" w:cs="Times New Roman"/>
          <w:color w:val="000000" w:themeColor="text1"/>
          <w:sz w:val="18"/>
          <w:szCs w:val="18"/>
        </w:rPr>
        <w:t xml:space="preserve"> was used as the second resource if the primary source did not provide a detailed description of function. Human Entrez gene summary was used as third resource. Rat Entrez gene summary was used as the fourth resource.</w:t>
      </w:r>
    </w:p>
    <w:p w14:paraId="7A09BA36" w14:textId="27A2A4ED" w:rsidR="008E0426" w:rsidRPr="000D05F7" w:rsidRDefault="008E0426" w:rsidP="008E0426">
      <w:pPr>
        <w:pStyle w:val="bmdsTblFootnote"/>
      </w:pPr>
      <w:r>
        <w:rPr>
          <w:b/>
        </w:rPr>
        <w:t xml:space="preserve">Gene definition version: </w:t>
      </w:r>
      <w:r w:rsidR="000D05F7" w:rsidRPr="000E6A0C">
        <w:rPr>
          <w:rFonts w:eastAsia="Calibri" w:cs="Times New Roman"/>
          <w:bCs/>
          <w:szCs w:val="18"/>
        </w:rPr>
        <w:t xml:space="preserve">https://cebs.niehs.nih.gov/cebs/study/002-00600-0002-000-0 </w:t>
      </w:r>
      <w:proofErr w:type="spellStart"/>
      <w:r w:rsidR="000D05F7" w:rsidRPr="000E6A0C">
        <w:rPr>
          <w:rFonts w:eastAsia="Calibri" w:cs="Times New Roman"/>
          <w:bCs/>
          <w:szCs w:val="18"/>
        </w:rPr>
        <w:t>V052</w:t>
      </w:r>
      <w:r w:rsidR="0078061E">
        <w:rPr>
          <w:rFonts w:eastAsia="Calibri" w:cs="Times New Roman"/>
          <w:bCs/>
          <w:szCs w:val="18"/>
        </w:rPr>
        <w:t>8</w:t>
      </w:r>
      <w:r w:rsidR="000D05F7" w:rsidRPr="000E6A0C">
        <w:rPr>
          <w:rFonts w:eastAsia="Calibri" w:cs="Times New Roman"/>
          <w:bCs/>
          <w:szCs w:val="18"/>
        </w:rPr>
        <w:t>2021</w:t>
      </w:r>
      <w:proofErr w:type="spellEnd"/>
    </w:p>
    <w:p w14:paraId="623995BD" w14:textId="77777777" w:rsidR="008E0426" w:rsidRDefault="008E0426" w:rsidP="008E0426">
      <w:pPr>
        <w:pStyle w:val="bmdsTblFootnote"/>
      </w:pPr>
      <w:proofErr w:type="spellStart"/>
      <w:r>
        <w:rPr>
          <w:b/>
        </w:rPr>
        <w:t>Abcc3</w:t>
      </w:r>
      <w:proofErr w:type="spellEnd"/>
      <w:r>
        <w:rPr>
          <w:b/>
        </w:rPr>
        <w:t>:</w:t>
      </w:r>
      <w:r>
        <w:rPr>
          <w:i/>
        </w:rPr>
        <w:t xml:space="preserve"> Human </w:t>
      </w:r>
      <w:proofErr w:type="spellStart"/>
      <w:r>
        <w:rPr>
          <w:i/>
        </w:rPr>
        <w:t>Uniprot</w:t>
      </w:r>
      <w:proofErr w:type="spellEnd"/>
      <w:r>
        <w:rPr>
          <w:i/>
        </w:rPr>
        <w:t xml:space="preserve"> function (Human ABCC3):</w:t>
      </w:r>
      <w:r>
        <w:t xml:space="preserve"> May act as an inducible transporter in the biliary and intestinal excretion of organic anions. Acts as an alternative route for the export of bile acids and glucuronides from cholestatic hepatocytes (By similarity). {ECO0000250}.</w:t>
      </w:r>
    </w:p>
    <w:p w14:paraId="563251B2" w14:textId="77777777" w:rsidR="008E0426" w:rsidRDefault="008E0426" w:rsidP="008E0426">
      <w:pPr>
        <w:pStyle w:val="bmdsTblFootnote"/>
      </w:pPr>
      <w:proofErr w:type="spellStart"/>
      <w:r>
        <w:rPr>
          <w:b/>
        </w:rPr>
        <w:t>Gsta2</w:t>
      </w:r>
      <w:proofErr w:type="spellEnd"/>
      <w:r>
        <w:rPr>
          <w:b/>
        </w:rPr>
        <w:t>:</w:t>
      </w:r>
      <w:r>
        <w:rPr>
          <w:i/>
        </w:rPr>
        <w:t xml:space="preserve"> Human </w:t>
      </w:r>
      <w:proofErr w:type="spellStart"/>
      <w:r>
        <w:rPr>
          <w:i/>
        </w:rPr>
        <w:t>Uniprot</w:t>
      </w:r>
      <w:proofErr w:type="spellEnd"/>
      <w:r>
        <w:rPr>
          <w:i/>
        </w:rPr>
        <w:t xml:space="preserve"> function (Human GSTA2):</w:t>
      </w:r>
      <w:r>
        <w:t xml:space="preserve"> Conjugation of reduced glutathione to a wide number of exogenous and endogenous hydrophobic electrophiles.</w:t>
      </w:r>
    </w:p>
    <w:p w14:paraId="6374F1EE" w14:textId="77777777" w:rsidR="008E0426" w:rsidRDefault="008E0426" w:rsidP="008E0426">
      <w:pPr>
        <w:pStyle w:val="bmdsTblFootnote"/>
      </w:pPr>
      <w:proofErr w:type="spellStart"/>
      <w:r>
        <w:rPr>
          <w:b/>
        </w:rPr>
        <w:t>Gsta5</w:t>
      </w:r>
      <w:proofErr w:type="spellEnd"/>
      <w:r>
        <w:rPr>
          <w:b/>
        </w:rPr>
        <w:t>:</w:t>
      </w:r>
      <w:r>
        <w:rPr>
          <w:i/>
        </w:rPr>
        <w:t xml:space="preserve"> Rat </w:t>
      </w:r>
      <w:proofErr w:type="spellStart"/>
      <w:r>
        <w:rPr>
          <w:i/>
        </w:rPr>
        <w:t>Uniprot</w:t>
      </w:r>
      <w:proofErr w:type="spellEnd"/>
      <w:r>
        <w:rPr>
          <w:i/>
        </w:rPr>
        <w:t xml:space="preserve"> Function (Human GSTA5):</w:t>
      </w:r>
      <w:r>
        <w:t xml:space="preserve"> Conjugation of reduced glutathione to a wide number of exogenous and endogenous hydrophobic electrophiles.</w:t>
      </w:r>
    </w:p>
    <w:p w14:paraId="18721041" w14:textId="77777777" w:rsidR="008E0426" w:rsidRDefault="008E0426" w:rsidP="008E0426">
      <w:pPr>
        <w:pStyle w:val="bmdsTblFootnote"/>
      </w:pPr>
      <w:proofErr w:type="spellStart"/>
      <w:r>
        <w:rPr>
          <w:b/>
        </w:rPr>
        <w:t>Ephx1</w:t>
      </w:r>
      <w:proofErr w:type="spellEnd"/>
      <w:r>
        <w:rPr>
          <w:b/>
        </w:rPr>
        <w:t>:</w:t>
      </w:r>
      <w:r>
        <w:rPr>
          <w:i/>
        </w:rPr>
        <w:t xml:space="preserve"> Human </w:t>
      </w:r>
      <w:proofErr w:type="spellStart"/>
      <w:r>
        <w:rPr>
          <w:i/>
        </w:rPr>
        <w:t>Uniprot</w:t>
      </w:r>
      <w:proofErr w:type="spellEnd"/>
      <w:r>
        <w:rPr>
          <w:i/>
        </w:rPr>
        <w:t xml:space="preserve"> function (Human EPHX1):</w:t>
      </w:r>
      <w:r>
        <w:t xml:space="preserve"> Biotransformation enzyme that catalyzes the hydrolysis of arene and aliphatic epoxides to less reactive and more water soluble </w:t>
      </w:r>
      <w:proofErr w:type="spellStart"/>
      <w:r>
        <w:t>dihydrodiols</w:t>
      </w:r>
      <w:proofErr w:type="spellEnd"/>
      <w:r>
        <w:t xml:space="preserve"> by the trans addition of water (By similarity). Plays a role in the metabolism of endogenous lipids such as epoxide-containing fatty acids (</w:t>
      </w:r>
      <w:proofErr w:type="spellStart"/>
      <w:r>
        <w:t>PubMed22798687</w:t>
      </w:r>
      <w:proofErr w:type="spellEnd"/>
      <w:r>
        <w:t>). Metabolizes the abundant endocannabinoid 2-</w:t>
      </w:r>
      <w:proofErr w:type="spellStart"/>
      <w:r>
        <w:t>arachidonoylglycerol</w:t>
      </w:r>
      <w:proofErr w:type="spellEnd"/>
      <w:r>
        <w:t xml:space="preserve"> (2-AG) to free arachidonic acid (AA) and glycerol (</w:t>
      </w:r>
      <w:proofErr w:type="spellStart"/>
      <w:r>
        <w:t>PubMed24958911</w:t>
      </w:r>
      <w:proofErr w:type="spellEnd"/>
      <w:r>
        <w:t>). {</w:t>
      </w:r>
      <w:proofErr w:type="spellStart"/>
      <w:r>
        <w:t>ECO0000250|UniProtKBP07687</w:t>
      </w:r>
      <w:proofErr w:type="spellEnd"/>
      <w:r>
        <w:t xml:space="preserve">, </w:t>
      </w:r>
      <w:proofErr w:type="spellStart"/>
      <w:r>
        <w:t>ECO0000269|PubMed22798687</w:t>
      </w:r>
      <w:proofErr w:type="spellEnd"/>
      <w:r>
        <w:t xml:space="preserve">, </w:t>
      </w:r>
      <w:proofErr w:type="spellStart"/>
      <w:r>
        <w:t>ECO0000269|PubMed24958911</w:t>
      </w:r>
      <w:proofErr w:type="spellEnd"/>
      <w:r>
        <w:t>}.</w:t>
      </w:r>
    </w:p>
    <w:p w14:paraId="6AE64A74" w14:textId="77777777" w:rsidR="008E0426" w:rsidRDefault="008E0426" w:rsidP="008E0426">
      <w:pPr>
        <w:pStyle w:val="bmdsTblFootnote"/>
      </w:pPr>
      <w:proofErr w:type="spellStart"/>
      <w:r>
        <w:rPr>
          <w:b/>
        </w:rPr>
        <w:t>Akr7a3</w:t>
      </w:r>
      <w:proofErr w:type="spellEnd"/>
      <w:r>
        <w:rPr>
          <w:b/>
        </w:rPr>
        <w:t>:</w:t>
      </w:r>
      <w:r>
        <w:rPr>
          <w:i/>
        </w:rPr>
        <w:t xml:space="preserve"> Human </w:t>
      </w:r>
      <w:proofErr w:type="spellStart"/>
      <w:r>
        <w:rPr>
          <w:i/>
        </w:rPr>
        <w:t>Uniprot</w:t>
      </w:r>
      <w:proofErr w:type="spellEnd"/>
      <w:r>
        <w:rPr>
          <w:i/>
        </w:rPr>
        <w:t xml:space="preserve"> function (Human AKR7A3):</w:t>
      </w:r>
      <w:r>
        <w:t xml:space="preserve"> Can reduce the dialdehyde protein-binding form of aflatoxin </w:t>
      </w:r>
      <w:proofErr w:type="spellStart"/>
      <w:r>
        <w:t>B1</w:t>
      </w:r>
      <w:proofErr w:type="spellEnd"/>
      <w:r>
        <w:t xml:space="preserve"> (AFB1) to the non-binding AFB1 </w:t>
      </w:r>
      <w:proofErr w:type="spellStart"/>
      <w:r>
        <w:t>dialcohol</w:t>
      </w:r>
      <w:proofErr w:type="spellEnd"/>
      <w:r>
        <w:t>. May be involved in protection of liver against the toxic and carcinogenic effects of AFB1, a potent hepatocarcinogen. {</w:t>
      </w:r>
      <w:proofErr w:type="spellStart"/>
      <w:r>
        <w:t>ECO0000269|PubMed18416522</w:t>
      </w:r>
      <w:proofErr w:type="spellEnd"/>
      <w:r>
        <w:t>}.</w:t>
      </w:r>
    </w:p>
    <w:p w14:paraId="1FC330DD" w14:textId="77777777" w:rsidR="008E0426" w:rsidRDefault="008E0426" w:rsidP="008E0426">
      <w:pPr>
        <w:pStyle w:val="bmdsTblFootnote"/>
      </w:pPr>
      <w:proofErr w:type="spellStart"/>
      <w:r>
        <w:rPr>
          <w:b/>
        </w:rPr>
        <w:t>Ehhadh</w:t>
      </w:r>
      <w:proofErr w:type="spellEnd"/>
      <w:r>
        <w:rPr>
          <w:b/>
        </w:rPr>
        <w:t>:</w:t>
      </w:r>
      <w:r>
        <w:rPr>
          <w:i/>
        </w:rPr>
        <w:t xml:space="preserve"> Human </w:t>
      </w:r>
      <w:proofErr w:type="spellStart"/>
      <w:r>
        <w:rPr>
          <w:i/>
        </w:rPr>
        <w:t>Uniprot</w:t>
      </w:r>
      <w:proofErr w:type="spellEnd"/>
      <w:r>
        <w:rPr>
          <w:i/>
        </w:rPr>
        <w:t xml:space="preserve"> function (Human EHHADH):</w:t>
      </w:r>
      <w:r>
        <w:t xml:space="preserve"> Peroxisomal trifunctional enzyme possessing 2-enoyl-CoA hydratase, 3-</w:t>
      </w:r>
      <w:proofErr w:type="spellStart"/>
      <w:r>
        <w:t>hydroxyacyl</w:t>
      </w:r>
      <w:proofErr w:type="spellEnd"/>
      <w:r>
        <w:t xml:space="preserve">-CoA dehydrogenase, and delta 3, delta 2-enoyl-CoA isomerase activities. Catalyzes two of the four reactions of the long straight chain fatty acids peroxisomal beta-oxidation pathway. Optimal isomerase for 2,5 double bonds into 3,5 form isomerization in a range of enoyl-CoA species (Probable). </w:t>
      </w:r>
      <w:proofErr w:type="gramStart"/>
      <w:r>
        <w:t>Also</w:t>
      </w:r>
      <w:proofErr w:type="gramEnd"/>
      <w:r>
        <w:t xml:space="preserve"> able to isomerize both 3-cis and 3-trans double bonds into the 2-trans form in a range of enoyl-CoA species (By similarity). With HSD17B4, catalyzes the hydration of trans-2-enoyl-CoA and the dehydrogenation of 3-</w:t>
      </w:r>
      <w:proofErr w:type="spellStart"/>
      <w:r>
        <w:t>hydroxyacyl</w:t>
      </w:r>
      <w:proofErr w:type="spellEnd"/>
      <w:r>
        <w:t>-CoA, but with opposite chiral specificity (</w:t>
      </w:r>
      <w:proofErr w:type="spellStart"/>
      <w:r>
        <w:t>PubMed15060085</w:t>
      </w:r>
      <w:proofErr w:type="spellEnd"/>
      <w:r>
        <w:t>). Regulates the amount of medium-chain dicarboxylic fatty acids which are essential regulators of all fatty acid oxidation pathways (By similarity). Also involved in the degradation of long-chain dicarboxylic acids through peroxisomal beta-oxidation (</w:t>
      </w:r>
      <w:proofErr w:type="spellStart"/>
      <w:r>
        <w:t>PubMed15060085</w:t>
      </w:r>
      <w:proofErr w:type="spellEnd"/>
      <w:r>
        <w:t>). {</w:t>
      </w:r>
      <w:proofErr w:type="spellStart"/>
      <w:r>
        <w:t>ECO0000250|UniProtKBP07896</w:t>
      </w:r>
      <w:proofErr w:type="spellEnd"/>
      <w:r>
        <w:t xml:space="preserve">, </w:t>
      </w:r>
      <w:proofErr w:type="spellStart"/>
      <w:r>
        <w:t>ECO0000250|UniProtKBQ9DBM2</w:t>
      </w:r>
      <w:proofErr w:type="spellEnd"/>
      <w:r>
        <w:t xml:space="preserve">, </w:t>
      </w:r>
      <w:proofErr w:type="spellStart"/>
      <w:r>
        <w:t>ECO0000269|PubMed15060085</w:t>
      </w:r>
      <w:proofErr w:type="spellEnd"/>
      <w:r>
        <w:t xml:space="preserve">, </w:t>
      </w:r>
      <w:proofErr w:type="spellStart"/>
      <w:r>
        <w:t>ECO0000305|PubMed15060085</w:t>
      </w:r>
      <w:proofErr w:type="spellEnd"/>
      <w:r>
        <w:t>}.</w:t>
      </w:r>
    </w:p>
    <w:p w14:paraId="1E365758" w14:textId="77777777" w:rsidR="008E0426" w:rsidRDefault="008E0426" w:rsidP="008E0426">
      <w:pPr>
        <w:pStyle w:val="bmdsTblFootnote"/>
      </w:pPr>
      <w:proofErr w:type="spellStart"/>
      <w:r>
        <w:rPr>
          <w:b/>
        </w:rPr>
        <w:t>Pir</w:t>
      </w:r>
      <w:proofErr w:type="spellEnd"/>
      <w:r>
        <w:rPr>
          <w:b/>
        </w:rPr>
        <w:t>:</w:t>
      </w:r>
      <w:r>
        <w:rPr>
          <w:i/>
        </w:rPr>
        <w:t xml:space="preserve"> Human </w:t>
      </w:r>
      <w:proofErr w:type="spellStart"/>
      <w:r>
        <w:rPr>
          <w:i/>
        </w:rPr>
        <w:t>Uniprot</w:t>
      </w:r>
      <w:proofErr w:type="spellEnd"/>
      <w:r>
        <w:rPr>
          <w:i/>
        </w:rPr>
        <w:t xml:space="preserve"> function (Human PIR):</w:t>
      </w:r>
      <w:r>
        <w:t xml:space="preserve"> Transcriptional coregulator of NF-kappa-B which facilitates binding of NF-kappa-B proteins to target kappa-B genes in a redox-state-dependent manner. May be required for efficient terminal myeloid maturation of hematopoietic cells. Has quercetin 2,3-dioxygenase activity (in vitro). {</w:t>
      </w:r>
      <w:proofErr w:type="spellStart"/>
      <w:r>
        <w:t>ECO0000269|PubMed17288615</w:t>
      </w:r>
      <w:proofErr w:type="spellEnd"/>
      <w:r>
        <w:t xml:space="preserve">, </w:t>
      </w:r>
      <w:proofErr w:type="spellStart"/>
      <w:r>
        <w:t>ECO0000269|PubMed20010624</w:t>
      </w:r>
      <w:proofErr w:type="spellEnd"/>
      <w:r>
        <w:t xml:space="preserve">, </w:t>
      </w:r>
      <w:proofErr w:type="spellStart"/>
      <w:r>
        <w:t>ECO0000269|PubMed20711196</w:t>
      </w:r>
      <w:proofErr w:type="spellEnd"/>
      <w:r>
        <w:t xml:space="preserve">, </w:t>
      </w:r>
      <w:proofErr w:type="spellStart"/>
      <w:r>
        <w:t>ECO0000269|PubMed23716661</w:t>
      </w:r>
      <w:proofErr w:type="spellEnd"/>
      <w:r>
        <w:t>}.</w:t>
      </w:r>
    </w:p>
    <w:p w14:paraId="25C18245" w14:textId="77777777" w:rsidR="008E0426" w:rsidRDefault="008E0426" w:rsidP="008E0426">
      <w:pPr>
        <w:pStyle w:val="bmdsTblFootnote"/>
      </w:pPr>
      <w:proofErr w:type="spellStart"/>
      <w:r>
        <w:rPr>
          <w:b/>
        </w:rPr>
        <w:t>Gclm</w:t>
      </w:r>
      <w:proofErr w:type="spellEnd"/>
      <w:r>
        <w:rPr>
          <w:b/>
        </w:rPr>
        <w:t>:</w:t>
      </w:r>
      <w:r>
        <w:rPr>
          <w:i/>
        </w:rPr>
        <w:t xml:space="preserve"> Human Entrez Gene Summary (Human GCLM):</w:t>
      </w:r>
      <w:r>
        <w:t xml:space="preserve"> Glutamate-cysteine ligase, also known as gamma-</w:t>
      </w:r>
      <w:proofErr w:type="spellStart"/>
      <w:r>
        <w:t>glutamylcysteine</w:t>
      </w:r>
      <w:proofErr w:type="spellEnd"/>
      <w:r>
        <w:t xml:space="preserve"> synthetase, is the </w:t>
      </w:r>
      <w:proofErr w:type="gramStart"/>
      <w:r>
        <w:t>first rate</w:t>
      </w:r>
      <w:proofErr w:type="gramEnd"/>
      <w:r>
        <w:t xml:space="preserve"> limiting enzyme of glutathione synthesis. The enzyme consists of two subunits, a heavy catalytic </w:t>
      </w:r>
      <w:proofErr w:type="gramStart"/>
      <w:r>
        <w:t>subunit</w:t>
      </w:r>
      <w:proofErr w:type="gramEnd"/>
      <w:r>
        <w:t xml:space="preserve"> and a light regulatory subunit. Gamma </w:t>
      </w:r>
      <w:proofErr w:type="spellStart"/>
      <w:r>
        <w:t>glutamylcysteine</w:t>
      </w:r>
      <w:proofErr w:type="spellEnd"/>
      <w:r>
        <w:t xml:space="preserve"> synthetase deficiency has been implicated in some forms of </w:t>
      </w:r>
      <w:r>
        <w:lastRenderedPageBreak/>
        <w:t xml:space="preserve">hemolytic anemia. Alternative splicing results in multiple transcript variants encoding different isoforms. [provided by </w:t>
      </w:r>
      <w:proofErr w:type="spellStart"/>
      <w:r>
        <w:t>RefSeq</w:t>
      </w:r>
      <w:proofErr w:type="spellEnd"/>
      <w:r>
        <w:t>, Apr 2015]</w:t>
      </w:r>
    </w:p>
    <w:p w14:paraId="0BAF467E" w14:textId="77777777" w:rsidR="008E0426" w:rsidRDefault="008E0426" w:rsidP="008E0426">
      <w:pPr>
        <w:pStyle w:val="bmdsTblFootnote"/>
      </w:pPr>
      <w:r>
        <w:rPr>
          <w:b/>
        </w:rPr>
        <w:t>Dao:</w:t>
      </w:r>
      <w:r>
        <w:rPr>
          <w:i/>
        </w:rPr>
        <w:t xml:space="preserve"> Human </w:t>
      </w:r>
      <w:proofErr w:type="spellStart"/>
      <w:r>
        <w:rPr>
          <w:i/>
        </w:rPr>
        <w:t>Uniprot</w:t>
      </w:r>
      <w:proofErr w:type="spellEnd"/>
      <w:r>
        <w:rPr>
          <w:i/>
        </w:rPr>
        <w:t xml:space="preserve"> function (Human DAO):</w:t>
      </w:r>
      <w:r>
        <w:t xml:space="preserve"> Regulates the level of the neuromodulator D-serine in the brain. Has high activity towards D-DOPA and contributes to dopamine synthesis. Could act as a detoxifying agent which removes D-amino acids accumulated during aging. Acts on a variety of D-amino acids with a preference for those having small hydrophobic side chains followed by those bearing polar, aromatic, and basic groups. Does not act on acidic amino acids. {</w:t>
      </w:r>
      <w:proofErr w:type="spellStart"/>
      <w:r>
        <w:t>ECO0000269|PubMed17303072</w:t>
      </w:r>
      <w:proofErr w:type="spellEnd"/>
      <w:r>
        <w:t>}.</w:t>
      </w:r>
    </w:p>
    <w:p w14:paraId="5E3016CE" w14:textId="77777777" w:rsidR="008E0426" w:rsidRDefault="008E0426" w:rsidP="008E0426">
      <w:pPr>
        <w:pStyle w:val="bmdsTblFootnote"/>
      </w:pPr>
      <w:proofErr w:type="spellStart"/>
      <w:r>
        <w:rPr>
          <w:b/>
        </w:rPr>
        <w:t>Me1</w:t>
      </w:r>
      <w:proofErr w:type="spellEnd"/>
      <w:r>
        <w:rPr>
          <w:b/>
        </w:rPr>
        <w:t>:</w:t>
      </w:r>
      <w:r>
        <w:rPr>
          <w:i/>
        </w:rPr>
        <w:t xml:space="preserve"> Human Entrez Gene Summary (Human ME1):</w:t>
      </w:r>
      <w:r>
        <w:t xml:space="preserve"> This gene encodes a cytosolic, NADP-dependent enzyme that generates NADPH for fatty acid biosynthesis. The activity of this enzyme, the reversible oxidative decarboxylation of malate, links the glycolytic and citric acid cycles. The regulation of expression for this gene is complex. Increased expression can result from elevated levels of thyroid hormones or by higher proportions of carbohydrates in the diet. [provided by </w:t>
      </w:r>
      <w:proofErr w:type="spellStart"/>
      <w:r>
        <w:t>RefSeq</w:t>
      </w:r>
      <w:proofErr w:type="spellEnd"/>
      <w:r>
        <w:t>, Jul 2008]</w:t>
      </w:r>
    </w:p>
    <w:p w14:paraId="32CBAAD8" w14:textId="77777777" w:rsidR="00C505B6" w:rsidRPr="008E0426" w:rsidRDefault="0078061E" w:rsidP="008E0426"/>
    <w:sectPr w:rsidR="00C505B6" w:rsidRPr="008E0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3FB"/>
    <w:rsid w:val="000D05F7"/>
    <w:rsid w:val="0021102E"/>
    <w:rsid w:val="006543FB"/>
    <w:rsid w:val="0078061E"/>
    <w:rsid w:val="008E0426"/>
    <w:rsid w:val="00F5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8FF3D"/>
  <w15:chartTrackingRefBased/>
  <w15:docId w15:val="{73C72F94-E0CF-48AE-B6DF-D75785B1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426"/>
    <w:pPr>
      <w:spacing w:after="0" w:line="240" w:lineRule="auto"/>
    </w:pPr>
    <w:rPr>
      <w:sz w:val="24"/>
      <w:szCs w:val="24"/>
    </w:rPr>
  </w:style>
  <w:style w:type="paragraph" w:styleId="Heading3">
    <w:name w:val="heading 3"/>
    <w:basedOn w:val="Normal"/>
    <w:next w:val="Normal"/>
    <w:link w:val="Heading3Char"/>
    <w:uiPriority w:val="9"/>
    <w:semiHidden/>
    <w:unhideWhenUsed/>
    <w:qFormat/>
    <w:rsid w:val="008E0426"/>
    <w:pPr>
      <w:keepNext/>
      <w:keepLines/>
      <w:spacing w:before="4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E0426"/>
    <w:rPr>
      <w:rFonts w:eastAsiaTheme="majorEastAsia" w:cstheme="majorBidi"/>
      <w:b/>
      <w:color w:val="000000" w:themeColor="text1"/>
      <w:sz w:val="24"/>
      <w:szCs w:val="24"/>
    </w:rPr>
  </w:style>
  <w:style w:type="character" w:styleId="Hyperlink">
    <w:name w:val="Hyperlink"/>
    <w:basedOn w:val="DefaultParagraphFont"/>
    <w:uiPriority w:val="99"/>
    <w:semiHidden/>
    <w:unhideWhenUsed/>
    <w:rsid w:val="008E0426"/>
    <w:rPr>
      <w:color w:val="0563C1" w:themeColor="hyperlink"/>
      <w:u w:val="single"/>
    </w:rPr>
  </w:style>
  <w:style w:type="paragraph" w:customStyle="1" w:styleId="bmdsTblBody">
    <w:name w:val="bmdsTblBody"/>
    <w:basedOn w:val="Normal"/>
    <w:qFormat/>
    <w:rsid w:val="008E0426"/>
    <w:rPr>
      <w:rFonts w:ascii="Times New Roman" w:hAnsi="Times New Roman"/>
      <w:sz w:val="18"/>
    </w:rPr>
  </w:style>
  <w:style w:type="paragraph" w:customStyle="1" w:styleId="bmdsTblFootnote">
    <w:name w:val="bmdsTblFootnote"/>
    <w:basedOn w:val="bmdsTblBody"/>
    <w:qFormat/>
    <w:rsid w:val="008E0426"/>
  </w:style>
  <w:style w:type="paragraph" w:customStyle="1" w:styleId="bmdsTblHeader">
    <w:name w:val="bmdsTblHeader"/>
    <w:basedOn w:val="bmdsTblBody"/>
    <w:qFormat/>
    <w:rsid w:val="008E042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68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cbi.nlm.nih.gov/ge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prot.org/uniprot/" TargetMode="External"/><Relationship Id="rId5" Type="http://schemas.openxmlformats.org/officeDocument/2006/relationships/hyperlink" Target="https://www.ncbi.nlm.nih.gov/gene/" TargetMode="External"/><Relationship Id="rId4" Type="http://schemas.openxmlformats.org/officeDocument/2006/relationships/hyperlink" Target="https://www.uniprot.org/unipro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2017</Words>
  <Characters>11502</Characters>
  <Application>Microsoft Office Word</Application>
  <DocSecurity>0</DocSecurity>
  <Lines>95</Lines>
  <Paragraphs>26</Paragraphs>
  <ScaleCrop>false</ScaleCrop>
  <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 Shihan (NIH/NIEHS) [C]</dc:creator>
  <cp:keywords/>
  <dc:description/>
  <cp:lastModifiedBy>He, Shihan (NIH/NIEHS) [C]</cp:lastModifiedBy>
  <cp:revision>4</cp:revision>
  <dcterms:created xsi:type="dcterms:W3CDTF">2021-05-25T22:06:00Z</dcterms:created>
  <dcterms:modified xsi:type="dcterms:W3CDTF">2021-07-26T20:13:00Z</dcterms:modified>
</cp:coreProperties>
</file>