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2B87" w14:textId="77777777" w:rsidR="00DB00B9" w:rsidRDefault="00DB00B9" w:rsidP="00DB00B9">
      <w:pPr>
        <w:pStyle w:val="Heading3"/>
      </w:pPr>
      <w:r>
        <w:t>Male Kidney Top 10 GO Biological Process Gene Sets Ranked by Potency of Perturbation (Sorted by BMD Median)</w:t>
      </w:r>
    </w:p>
    <w:tbl>
      <w:tblPr>
        <w:tblW w:w="0" w:type="auto"/>
        <w:tblLook w:val="04A0" w:firstRow="1" w:lastRow="0" w:firstColumn="1" w:lastColumn="0" w:noHBand="0" w:noVBand="1"/>
      </w:tblPr>
      <w:tblGrid>
        <w:gridCol w:w="1502"/>
        <w:gridCol w:w="1518"/>
        <w:gridCol w:w="1056"/>
        <w:gridCol w:w="893"/>
        <w:gridCol w:w="1219"/>
        <w:gridCol w:w="1080"/>
        <w:gridCol w:w="1046"/>
        <w:gridCol w:w="1046"/>
      </w:tblGrid>
      <w:tr w:rsidR="00DB00B9" w14:paraId="272E5694" w14:textId="77777777" w:rsidTr="00DB00B9">
        <w:tc>
          <w:tcPr>
            <w:tcW w:w="8640" w:type="dxa"/>
            <w:tcBorders>
              <w:top w:val="single" w:sz="2" w:space="0" w:color="000000"/>
              <w:left w:val="nil"/>
              <w:bottom w:val="single" w:sz="2" w:space="0" w:color="000000"/>
              <w:right w:val="nil"/>
            </w:tcBorders>
            <w:vAlign w:val="center"/>
            <w:hideMark/>
          </w:tcPr>
          <w:p w14:paraId="1D83A56C" w14:textId="77777777" w:rsidR="00DB00B9" w:rsidRDefault="00DB00B9">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5E6DEFBB" w14:textId="77777777" w:rsidR="00DB00B9" w:rsidRDefault="00DB00B9">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3A92CE6C" w14:textId="77777777" w:rsidR="00DB00B9" w:rsidRDefault="00DB00B9">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2D05D7E2" w14:textId="77777777" w:rsidR="00DB00B9" w:rsidRDefault="00DB00B9">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5437B9FD" w14:textId="77777777" w:rsidR="00DB00B9" w:rsidRDefault="00DB00B9">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78E70449" w14:textId="77777777" w:rsidR="00DB00B9" w:rsidRDefault="00DB00B9">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519C5B81" w14:textId="77777777" w:rsidR="00DB00B9" w:rsidRDefault="00DB00B9">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766F4EC8" w14:textId="77777777" w:rsidR="00DB00B9" w:rsidRDefault="00DB00B9">
            <w:pPr>
              <w:pStyle w:val="bmdsTblHeader"/>
              <w:jc w:val="center"/>
            </w:pPr>
            <w:r>
              <w:t>Genes with Changed Direction Down</w:t>
            </w:r>
          </w:p>
        </w:tc>
      </w:tr>
      <w:tr w:rsidR="00DB00B9" w14:paraId="75C3498B" w14:textId="77777777" w:rsidTr="00DB00B9">
        <w:tc>
          <w:tcPr>
            <w:tcW w:w="8640" w:type="dxa"/>
            <w:vAlign w:val="center"/>
            <w:hideMark/>
          </w:tcPr>
          <w:p w14:paraId="37BC326D" w14:textId="77777777" w:rsidR="00DB00B9" w:rsidRDefault="00DB00B9">
            <w:pPr>
              <w:pStyle w:val="bmdsTblBody"/>
            </w:pPr>
            <w:r>
              <w:rPr>
                <w:b/>
              </w:rPr>
              <w:t>GO:0007420</w:t>
            </w:r>
          </w:p>
          <w:p w14:paraId="49E73E16" w14:textId="77777777" w:rsidR="00DB00B9" w:rsidRDefault="00DB00B9">
            <w:pPr>
              <w:pStyle w:val="bmdsTblBody"/>
            </w:pPr>
            <w:r>
              <w:t>brain development</w:t>
            </w:r>
          </w:p>
        </w:tc>
        <w:tc>
          <w:tcPr>
            <w:tcW w:w="3806" w:type="dxa"/>
            <w:vAlign w:val="center"/>
            <w:hideMark/>
          </w:tcPr>
          <w:p w14:paraId="4745BE90" w14:textId="77777777" w:rsidR="00DB00B9" w:rsidRDefault="00DB00B9">
            <w:pPr>
              <w:pStyle w:val="bmdsTblBody"/>
              <w:jc w:val="center"/>
            </w:pPr>
            <w:r>
              <w:rPr>
                <w:sz w:val="16"/>
              </w:rPr>
              <w:t>4/79</w:t>
            </w:r>
          </w:p>
        </w:tc>
        <w:tc>
          <w:tcPr>
            <w:tcW w:w="3806" w:type="dxa"/>
            <w:vAlign w:val="center"/>
            <w:hideMark/>
          </w:tcPr>
          <w:p w14:paraId="59AC7BB8" w14:textId="77777777" w:rsidR="00DB00B9" w:rsidRDefault="00DB00B9">
            <w:pPr>
              <w:pStyle w:val="bmdsTblBody"/>
              <w:jc w:val="center"/>
            </w:pPr>
            <w:r>
              <w:rPr>
                <w:sz w:val="16"/>
              </w:rPr>
              <w:t>5%</w:t>
            </w:r>
          </w:p>
        </w:tc>
        <w:tc>
          <w:tcPr>
            <w:tcW w:w="3806" w:type="dxa"/>
            <w:vAlign w:val="center"/>
            <w:hideMark/>
          </w:tcPr>
          <w:p w14:paraId="491320C7" w14:textId="77777777" w:rsidR="00DB00B9" w:rsidRDefault="00DB00B9">
            <w:pPr>
              <w:pStyle w:val="bmdsTblBody"/>
              <w:jc w:val="center"/>
            </w:pPr>
            <w:proofErr w:type="spellStart"/>
            <w:r>
              <w:rPr>
                <w:sz w:val="16"/>
              </w:rPr>
              <w:t>top2a</w:t>
            </w:r>
            <w:proofErr w:type="spellEnd"/>
            <w:r>
              <w:rPr>
                <w:sz w:val="16"/>
              </w:rPr>
              <w:t xml:space="preserve">; </w:t>
            </w:r>
            <w:proofErr w:type="spellStart"/>
            <w:r>
              <w:rPr>
                <w:sz w:val="16"/>
              </w:rPr>
              <w:t>nefh</w:t>
            </w:r>
            <w:proofErr w:type="spellEnd"/>
            <w:r>
              <w:rPr>
                <w:sz w:val="16"/>
              </w:rPr>
              <w:t xml:space="preserve">; </w:t>
            </w:r>
            <w:proofErr w:type="spellStart"/>
            <w:r>
              <w:rPr>
                <w:sz w:val="16"/>
              </w:rPr>
              <w:t>hmgcs2</w:t>
            </w:r>
            <w:proofErr w:type="spellEnd"/>
            <w:r>
              <w:rPr>
                <w:sz w:val="16"/>
              </w:rPr>
              <w:t xml:space="preserve">; </w:t>
            </w:r>
            <w:proofErr w:type="spellStart"/>
            <w:r>
              <w:rPr>
                <w:sz w:val="16"/>
              </w:rPr>
              <w:t>cxcr4</w:t>
            </w:r>
            <w:proofErr w:type="spellEnd"/>
          </w:p>
        </w:tc>
        <w:tc>
          <w:tcPr>
            <w:tcW w:w="3806" w:type="dxa"/>
            <w:vAlign w:val="center"/>
            <w:hideMark/>
          </w:tcPr>
          <w:p w14:paraId="7DDD5173" w14:textId="77777777" w:rsidR="00DB00B9" w:rsidRDefault="00DB00B9">
            <w:pPr>
              <w:pStyle w:val="bmdsTblBody"/>
              <w:jc w:val="center"/>
            </w:pPr>
            <w:r>
              <w:rPr>
                <w:sz w:val="16"/>
              </w:rPr>
              <w:t>6.167</w:t>
            </w:r>
          </w:p>
        </w:tc>
        <w:tc>
          <w:tcPr>
            <w:tcW w:w="3806" w:type="dxa"/>
            <w:vAlign w:val="center"/>
            <w:hideMark/>
          </w:tcPr>
          <w:p w14:paraId="2E8A9CD8" w14:textId="77777777" w:rsidR="00DB00B9" w:rsidRDefault="00DB00B9">
            <w:pPr>
              <w:pStyle w:val="bmdsTblBody"/>
              <w:jc w:val="center"/>
            </w:pPr>
            <w:r>
              <w:rPr>
                <w:sz w:val="16"/>
              </w:rPr>
              <w:t>1.732-23.263</w:t>
            </w:r>
          </w:p>
        </w:tc>
        <w:tc>
          <w:tcPr>
            <w:tcW w:w="3806" w:type="dxa"/>
            <w:vAlign w:val="center"/>
            <w:hideMark/>
          </w:tcPr>
          <w:p w14:paraId="16AFCBE2" w14:textId="77777777" w:rsidR="00DB00B9" w:rsidRDefault="00DB00B9">
            <w:pPr>
              <w:pStyle w:val="bmdsTblBody"/>
              <w:jc w:val="center"/>
            </w:pPr>
            <w:r>
              <w:rPr>
                <w:sz w:val="16"/>
              </w:rPr>
              <w:t>0</w:t>
            </w:r>
          </w:p>
        </w:tc>
        <w:tc>
          <w:tcPr>
            <w:tcW w:w="3806" w:type="dxa"/>
            <w:vAlign w:val="center"/>
            <w:hideMark/>
          </w:tcPr>
          <w:p w14:paraId="712D6687" w14:textId="77777777" w:rsidR="00DB00B9" w:rsidRDefault="00DB00B9">
            <w:pPr>
              <w:pStyle w:val="bmdsTblBody"/>
              <w:jc w:val="center"/>
            </w:pPr>
            <w:r>
              <w:rPr>
                <w:sz w:val="16"/>
              </w:rPr>
              <w:t>4</w:t>
            </w:r>
          </w:p>
        </w:tc>
      </w:tr>
      <w:tr w:rsidR="00DB00B9" w14:paraId="5A937F41" w14:textId="77777777" w:rsidTr="00DB00B9">
        <w:tc>
          <w:tcPr>
            <w:tcW w:w="8640" w:type="dxa"/>
            <w:vAlign w:val="center"/>
            <w:hideMark/>
          </w:tcPr>
          <w:p w14:paraId="5FE9471D" w14:textId="77777777" w:rsidR="00DB00B9" w:rsidRDefault="00DB00B9">
            <w:pPr>
              <w:pStyle w:val="bmdsTblBody"/>
            </w:pPr>
            <w:r>
              <w:rPr>
                <w:b/>
              </w:rPr>
              <w:t>GO:0022412</w:t>
            </w:r>
          </w:p>
          <w:p w14:paraId="135A19DA" w14:textId="77777777" w:rsidR="00DB00B9" w:rsidRDefault="00DB00B9">
            <w:pPr>
              <w:pStyle w:val="bmdsTblBody"/>
            </w:pPr>
            <w:r>
              <w:t>cellular process involved in reproduction in multicellular organism</w:t>
            </w:r>
          </w:p>
        </w:tc>
        <w:tc>
          <w:tcPr>
            <w:tcW w:w="3806" w:type="dxa"/>
            <w:vAlign w:val="center"/>
            <w:hideMark/>
          </w:tcPr>
          <w:p w14:paraId="029E6C68" w14:textId="77777777" w:rsidR="00DB00B9" w:rsidRDefault="00DB00B9">
            <w:pPr>
              <w:pStyle w:val="bmdsTblBody"/>
              <w:jc w:val="center"/>
            </w:pPr>
            <w:r>
              <w:rPr>
                <w:sz w:val="16"/>
              </w:rPr>
              <w:t>3/60</w:t>
            </w:r>
          </w:p>
        </w:tc>
        <w:tc>
          <w:tcPr>
            <w:tcW w:w="3806" w:type="dxa"/>
            <w:vAlign w:val="center"/>
            <w:hideMark/>
          </w:tcPr>
          <w:p w14:paraId="12B18BB4" w14:textId="77777777" w:rsidR="00DB00B9" w:rsidRDefault="00DB00B9">
            <w:pPr>
              <w:pStyle w:val="bmdsTblBody"/>
              <w:jc w:val="center"/>
            </w:pPr>
            <w:r>
              <w:rPr>
                <w:sz w:val="16"/>
              </w:rPr>
              <w:t>5%</w:t>
            </w:r>
          </w:p>
        </w:tc>
        <w:tc>
          <w:tcPr>
            <w:tcW w:w="3806" w:type="dxa"/>
            <w:vAlign w:val="center"/>
            <w:hideMark/>
          </w:tcPr>
          <w:p w14:paraId="40493B87" w14:textId="77777777" w:rsidR="00DB00B9" w:rsidRDefault="00DB00B9">
            <w:pPr>
              <w:pStyle w:val="bmdsTblBody"/>
              <w:jc w:val="center"/>
            </w:pPr>
            <w:proofErr w:type="spellStart"/>
            <w:r>
              <w:rPr>
                <w:sz w:val="16"/>
              </w:rPr>
              <w:t>top2a</w:t>
            </w:r>
            <w:proofErr w:type="spellEnd"/>
            <w:r>
              <w:rPr>
                <w:sz w:val="16"/>
              </w:rPr>
              <w:t xml:space="preserve">; </w:t>
            </w:r>
            <w:proofErr w:type="spellStart"/>
            <w:r>
              <w:rPr>
                <w:sz w:val="16"/>
              </w:rPr>
              <w:t>kif20a</w:t>
            </w:r>
            <w:proofErr w:type="spellEnd"/>
            <w:r>
              <w:rPr>
                <w:sz w:val="16"/>
              </w:rPr>
              <w:t xml:space="preserve">; </w:t>
            </w:r>
            <w:proofErr w:type="spellStart"/>
            <w:r>
              <w:rPr>
                <w:sz w:val="16"/>
              </w:rPr>
              <w:t>cxcr4</w:t>
            </w:r>
            <w:proofErr w:type="spellEnd"/>
          </w:p>
        </w:tc>
        <w:tc>
          <w:tcPr>
            <w:tcW w:w="3806" w:type="dxa"/>
            <w:vAlign w:val="center"/>
            <w:hideMark/>
          </w:tcPr>
          <w:p w14:paraId="547D914B" w14:textId="77777777" w:rsidR="00DB00B9" w:rsidRDefault="00DB00B9">
            <w:pPr>
              <w:pStyle w:val="bmdsTblBody"/>
              <w:jc w:val="center"/>
            </w:pPr>
            <w:r>
              <w:rPr>
                <w:sz w:val="16"/>
              </w:rPr>
              <w:t>12.334</w:t>
            </w:r>
          </w:p>
        </w:tc>
        <w:tc>
          <w:tcPr>
            <w:tcW w:w="3806" w:type="dxa"/>
            <w:vAlign w:val="center"/>
            <w:hideMark/>
          </w:tcPr>
          <w:p w14:paraId="703BCF9F" w14:textId="77777777" w:rsidR="00DB00B9" w:rsidRDefault="00DB00B9">
            <w:pPr>
              <w:pStyle w:val="bmdsTblBody"/>
              <w:jc w:val="center"/>
            </w:pPr>
            <w:r>
              <w:rPr>
                <w:sz w:val="16"/>
              </w:rPr>
              <w:t>3.464-46.527</w:t>
            </w:r>
          </w:p>
        </w:tc>
        <w:tc>
          <w:tcPr>
            <w:tcW w:w="3806" w:type="dxa"/>
            <w:vAlign w:val="center"/>
            <w:hideMark/>
          </w:tcPr>
          <w:p w14:paraId="4198FDC0" w14:textId="77777777" w:rsidR="00DB00B9" w:rsidRDefault="00DB00B9">
            <w:pPr>
              <w:pStyle w:val="bmdsTblBody"/>
              <w:jc w:val="center"/>
            </w:pPr>
            <w:r>
              <w:rPr>
                <w:sz w:val="16"/>
              </w:rPr>
              <w:t>0</w:t>
            </w:r>
          </w:p>
        </w:tc>
        <w:tc>
          <w:tcPr>
            <w:tcW w:w="3806" w:type="dxa"/>
            <w:vAlign w:val="center"/>
            <w:hideMark/>
          </w:tcPr>
          <w:p w14:paraId="254B7350" w14:textId="77777777" w:rsidR="00DB00B9" w:rsidRDefault="00DB00B9">
            <w:pPr>
              <w:pStyle w:val="bmdsTblBody"/>
              <w:jc w:val="center"/>
            </w:pPr>
            <w:r>
              <w:rPr>
                <w:sz w:val="16"/>
              </w:rPr>
              <w:t>3</w:t>
            </w:r>
          </w:p>
        </w:tc>
      </w:tr>
      <w:tr w:rsidR="00DB00B9" w14:paraId="517689F6" w14:textId="77777777" w:rsidTr="00DB00B9">
        <w:tc>
          <w:tcPr>
            <w:tcW w:w="8640" w:type="dxa"/>
            <w:vAlign w:val="center"/>
            <w:hideMark/>
          </w:tcPr>
          <w:p w14:paraId="6785CD7B" w14:textId="77777777" w:rsidR="00DB00B9" w:rsidRDefault="00DB00B9">
            <w:pPr>
              <w:pStyle w:val="bmdsTblBody"/>
            </w:pPr>
            <w:r>
              <w:rPr>
                <w:b/>
              </w:rPr>
              <w:t>GO:1903046</w:t>
            </w:r>
          </w:p>
          <w:p w14:paraId="1328E4F7" w14:textId="77777777" w:rsidR="00DB00B9" w:rsidRDefault="00DB00B9">
            <w:pPr>
              <w:pStyle w:val="bmdsTblBody"/>
            </w:pPr>
            <w:r>
              <w:t>meiotic cell cycle process</w:t>
            </w:r>
          </w:p>
        </w:tc>
        <w:tc>
          <w:tcPr>
            <w:tcW w:w="3806" w:type="dxa"/>
            <w:vAlign w:val="center"/>
            <w:hideMark/>
          </w:tcPr>
          <w:p w14:paraId="22E4A62F" w14:textId="77777777" w:rsidR="00DB00B9" w:rsidRDefault="00DB00B9">
            <w:pPr>
              <w:pStyle w:val="bmdsTblBody"/>
              <w:jc w:val="center"/>
            </w:pPr>
            <w:r>
              <w:rPr>
                <w:sz w:val="16"/>
              </w:rPr>
              <w:t>3/29</w:t>
            </w:r>
          </w:p>
        </w:tc>
        <w:tc>
          <w:tcPr>
            <w:tcW w:w="3806" w:type="dxa"/>
            <w:vAlign w:val="center"/>
            <w:hideMark/>
          </w:tcPr>
          <w:p w14:paraId="38C8135F" w14:textId="77777777" w:rsidR="00DB00B9" w:rsidRDefault="00DB00B9">
            <w:pPr>
              <w:pStyle w:val="bmdsTblBody"/>
              <w:jc w:val="center"/>
            </w:pPr>
            <w:r>
              <w:rPr>
                <w:sz w:val="16"/>
              </w:rPr>
              <w:t>10%</w:t>
            </w:r>
          </w:p>
        </w:tc>
        <w:tc>
          <w:tcPr>
            <w:tcW w:w="3806" w:type="dxa"/>
            <w:vAlign w:val="center"/>
            <w:hideMark/>
          </w:tcPr>
          <w:p w14:paraId="6E9BE320" w14:textId="77777777" w:rsidR="00DB00B9" w:rsidRDefault="00DB00B9">
            <w:pPr>
              <w:pStyle w:val="bmdsTblBody"/>
              <w:jc w:val="center"/>
            </w:pPr>
            <w:proofErr w:type="spellStart"/>
            <w:r>
              <w:rPr>
                <w:sz w:val="16"/>
              </w:rPr>
              <w:t>top2a</w:t>
            </w:r>
            <w:proofErr w:type="spellEnd"/>
            <w:r>
              <w:rPr>
                <w:sz w:val="16"/>
              </w:rPr>
              <w:t xml:space="preserve">; </w:t>
            </w:r>
            <w:proofErr w:type="spellStart"/>
            <w:r>
              <w:rPr>
                <w:sz w:val="16"/>
              </w:rPr>
              <w:t>nuf2</w:t>
            </w:r>
            <w:proofErr w:type="spellEnd"/>
            <w:r>
              <w:rPr>
                <w:sz w:val="16"/>
              </w:rPr>
              <w:t xml:space="preserve">; </w:t>
            </w:r>
            <w:proofErr w:type="spellStart"/>
            <w:r>
              <w:rPr>
                <w:sz w:val="16"/>
              </w:rPr>
              <w:t>kif20a</w:t>
            </w:r>
            <w:proofErr w:type="spellEnd"/>
          </w:p>
        </w:tc>
        <w:tc>
          <w:tcPr>
            <w:tcW w:w="3806" w:type="dxa"/>
            <w:vAlign w:val="center"/>
            <w:hideMark/>
          </w:tcPr>
          <w:p w14:paraId="6D6524A1" w14:textId="77777777" w:rsidR="00DB00B9" w:rsidRDefault="00DB00B9">
            <w:pPr>
              <w:pStyle w:val="bmdsTblBody"/>
              <w:jc w:val="center"/>
            </w:pPr>
            <w:r>
              <w:rPr>
                <w:sz w:val="16"/>
              </w:rPr>
              <w:t>12.334</w:t>
            </w:r>
          </w:p>
        </w:tc>
        <w:tc>
          <w:tcPr>
            <w:tcW w:w="3806" w:type="dxa"/>
            <w:vAlign w:val="center"/>
            <w:hideMark/>
          </w:tcPr>
          <w:p w14:paraId="5C3B24CE" w14:textId="77777777" w:rsidR="00DB00B9" w:rsidRDefault="00DB00B9">
            <w:pPr>
              <w:pStyle w:val="bmdsTblBody"/>
              <w:jc w:val="center"/>
            </w:pPr>
            <w:r>
              <w:rPr>
                <w:sz w:val="16"/>
              </w:rPr>
              <w:t>4.279-46.527</w:t>
            </w:r>
          </w:p>
        </w:tc>
        <w:tc>
          <w:tcPr>
            <w:tcW w:w="3806" w:type="dxa"/>
            <w:vAlign w:val="center"/>
            <w:hideMark/>
          </w:tcPr>
          <w:p w14:paraId="63FFD776" w14:textId="77777777" w:rsidR="00DB00B9" w:rsidRDefault="00DB00B9">
            <w:pPr>
              <w:pStyle w:val="bmdsTblBody"/>
              <w:jc w:val="center"/>
            </w:pPr>
            <w:r>
              <w:rPr>
                <w:sz w:val="16"/>
              </w:rPr>
              <w:t>0</w:t>
            </w:r>
          </w:p>
        </w:tc>
        <w:tc>
          <w:tcPr>
            <w:tcW w:w="3806" w:type="dxa"/>
            <w:vAlign w:val="center"/>
            <w:hideMark/>
          </w:tcPr>
          <w:p w14:paraId="68F9C7E5" w14:textId="77777777" w:rsidR="00DB00B9" w:rsidRDefault="00DB00B9">
            <w:pPr>
              <w:pStyle w:val="bmdsTblBody"/>
              <w:jc w:val="center"/>
            </w:pPr>
            <w:r>
              <w:rPr>
                <w:sz w:val="16"/>
              </w:rPr>
              <w:t>3</w:t>
            </w:r>
          </w:p>
        </w:tc>
      </w:tr>
      <w:tr w:rsidR="00DB00B9" w14:paraId="1CEA9BAF" w14:textId="77777777" w:rsidTr="00DB00B9">
        <w:tc>
          <w:tcPr>
            <w:tcW w:w="8640" w:type="dxa"/>
            <w:vAlign w:val="center"/>
            <w:hideMark/>
          </w:tcPr>
          <w:p w14:paraId="4B97802D" w14:textId="77777777" w:rsidR="00DB00B9" w:rsidRDefault="00DB00B9">
            <w:pPr>
              <w:pStyle w:val="bmdsTblBody"/>
            </w:pPr>
            <w:r>
              <w:rPr>
                <w:b/>
              </w:rPr>
              <w:t>GO:0051301</w:t>
            </w:r>
          </w:p>
          <w:p w14:paraId="0E1D2813" w14:textId="77777777" w:rsidR="00DB00B9" w:rsidRDefault="00DB00B9">
            <w:pPr>
              <w:pStyle w:val="bmdsTblBody"/>
            </w:pPr>
            <w:r>
              <w:t>cell division</w:t>
            </w:r>
          </w:p>
        </w:tc>
        <w:tc>
          <w:tcPr>
            <w:tcW w:w="3806" w:type="dxa"/>
            <w:vAlign w:val="center"/>
            <w:hideMark/>
          </w:tcPr>
          <w:p w14:paraId="0F971FB2" w14:textId="77777777" w:rsidR="00DB00B9" w:rsidRDefault="00DB00B9">
            <w:pPr>
              <w:pStyle w:val="bmdsTblBody"/>
              <w:jc w:val="center"/>
            </w:pPr>
            <w:r>
              <w:rPr>
                <w:sz w:val="16"/>
              </w:rPr>
              <w:t>4/79</w:t>
            </w:r>
          </w:p>
        </w:tc>
        <w:tc>
          <w:tcPr>
            <w:tcW w:w="3806" w:type="dxa"/>
            <w:vAlign w:val="center"/>
            <w:hideMark/>
          </w:tcPr>
          <w:p w14:paraId="33A7AB62" w14:textId="77777777" w:rsidR="00DB00B9" w:rsidRDefault="00DB00B9">
            <w:pPr>
              <w:pStyle w:val="bmdsTblBody"/>
              <w:jc w:val="center"/>
            </w:pPr>
            <w:r>
              <w:rPr>
                <w:sz w:val="16"/>
              </w:rPr>
              <w:t>5%</w:t>
            </w:r>
          </w:p>
        </w:tc>
        <w:tc>
          <w:tcPr>
            <w:tcW w:w="3806" w:type="dxa"/>
            <w:vAlign w:val="center"/>
            <w:hideMark/>
          </w:tcPr>
          <w:p w14:paraId="42669F86" w14:textId="77777777" w:rsidR="00DB00B9" w:rsidRDefault="00DB00B9">
            <w:pPr>
              <w:pStyle w:val="bmdsTblBody"/>
              <w:jc w:val="center"/>
            </w:pPr>
            <w:proofErr w:type="spellStart"/>
            <w:r>
              <w:rPr>
                <w:sz w:val="16"/>
              </w:rPr>
              <w:t>top2a</w:t>
            </w:r>
            <w:proofErr w:type="spellEnd"/>
            <w:r>
              <w:rPr>
                <w:sz w:val="16"/>
              </w:rPr>
              <w:t xml:space="preserve">; </w:t>
            </w:r>
            <w:proofErr w:type="spellStart"/>
            <w:r>
              <w:rPr>
                <w:sz w:val="16"/>
              </w:rPr>
              <w:t>nuf2</w:t>
            </w:r>
            <w:proofErr w:type="spellEnd"/>
            <w:r>
              <w:rPr>
                <w:sz w:val="16"/>
              </w:rPr>
              <w:t xml:space="preserve">; </w:t>
            </w:r>
            <w:proofErr w:type="spellStart"/>
            <w:r>
              <w:rPr>
                <w:sz w:val="16"/>
              </w:rPr>
              <w:t>mcm5</w:t>
            </w:r>
            <w:proofErr w:type="spellEnd"/>
            <w:r>
              <w:rPr>
                <w:sz w:val="16"/>
              </w:rPr>
              <w:t xml:space="preserve">; </w:t>
            </w:r>
            <w:proofErr w:type="spellStart"/>
            <w:r>
              <w:rPr>
                <w:sz w:val="16"/>
              </w:rPr>
              <w:t>kif20a</w:t>
            </w:r>
            <w:proofErr w:type="spellEnd"/>
          </w:p>
        </w:tc>
        <w:tc>
          <w:tcPr>
            <w:tcW w:w="3806" w:type="dxa"/>
            <w:vAlign w:val="center"/>
            <w:hideMark/>
          </w:tcPr>
          <w:p w14:paraId="7602B81C" w14:textId="77777777" w:rsidR="00DB00B9" w:rsidRDefault="00DB00B9">
            <w:pPr>
              <w:pStyle w:val="bmdsTblBody"/>
              <w:jc w:val="center"/>
            </w:pPr>
            <w:r>
              <w:rPr>
                <w:sz w:val="16"/>
              </w:rPr>
              <w:t>12.417</w:t>
            </w:r>
          </w:p>
        </w:tc>
        <w:tc>
          <w:tcPr>
            <w:tcW w:w="3806" w:type="dxa"/>
            <w:vAlign w:val="center"/>
            <w:hideMark/>
          </w:tcPr>
          <w:p w14:paraId="615E019B" w14:textId="77777777" w:rsidR="00DB00B9" w:rsidRDefault="00DB00B9">
            <w:pPr>
              <w:pStyle w:val="bmdsTblBody"/>
              <w:jc w:val="center"/>
            </w:pPr>
            <w:r>
              <w:rPr>
                <w:sz w:val="16"/>
              </w:rPr>
              <w:t>6.977-42.166</w:t>
            </w:r>
          </w:p>
        </w:tc>
        <w:tc>
          <w:tcPr>
            <w:tcW w:w="3806" w:type="dxa"/>
            <w:vAlign w:val="center"/>
            <w:hideMark/>
          </w:tcPr>
          <w:p w14:paraId="6E7085D3" w14:textId="77777777" w:rsidR="00DB00B9" w:rsidRDefault="00DB00B9">
            <w:pPr>
              <w:pStyle w:val="bmdsTblBody"/>
              <w:jc w:val="center"/>
            </w:pPr>
            <w:r>
              <w:rPr>
                <w:sz w:val="16"/>
              </w:rPr>
              <w:t>0</w:t>
            </w:r>
          </w:p>
        </w:tc>
        <w:tc>
          <w:tcPr>
            <w:tcW w:w="3806" w:type="dxa"/>
            <w:vAlign w:val="center"/>
            <w:hideMark/>
          </w:tcPr>
          <w:p w14:paraId="6DCAECC8" w14:textId="77777777" w:rsidR="00DB00B9" w:rsidRDefault="00DB00B9">
            <w:pPr>
              <w:pStyle w:val="bmdsTblBody"/>
              <w:jc w:val="center"/>
            </w:pPr>
            <w:r>
              <w:rPr>
                <w:sz w:val="16"/>
              </w:rPr>
              <w:t>4</w:t>
            </w:r>
          </w:p>
        </w:tc>
      </w:tr>
      <w:tr w:rsidR="00DB00B9" w14:paraId="6FCAA154" w14:textId="77777777" w:rsidTr="00DB00B9">
        <w:tc>
          <w:tcPr>
            <w:tcW w:w="8640" w:type="dxa"/>
            <w:vAlign w:val="center"/>
            <w:hideMark/>
          </w:tcPr>
          <w:p w14:paraId="6F63591F" w14:textId="77777777" w:rsidR="00DB00B9" w:rsidRDefault="00DB00B9">
            <w:pPr>
              <w:pStyle w:val="bmdsTblBody"/>
            </w:pPr>
            <w:r>
              <w:rPr>
                <w:b/>
              </w:rPr>
              <w:t>GO:0000281</w:t>
            </w:r>
          </w:p>
          <w:p w14:paraId="515EDE37" w14:textId="77777777" w:rsidR="00DB00B9" w:rsidRDefault="00DB00B9">
            <w:pPr>
              <w:pStyle w:val="bmdsTblBody"/>
            </w:pPr>
            <w:r>
              <w:t>mitotic cytokinesis</w:t>
            </w:r>
          </w:p>
        </w:tc>
        <w:tc>
          <w:tcPr>
            <w:tcW w:w="3806" w:type="dxa"/>
            <w:vAlign w:val="center"/>
            <w:hideMark/>
          </w:tcPr>
          <w:p w14:paraId="3F7FC9CF" w14:textId="77777777" w:rsidR="00DB00B9" w:rsidRDefault="00DB00B9">
            <w:pPr>
              <w:pStyle w:val="bmdsTblBody"/>
              <w:jc w:val="center"/>
            </w:pPr>
            <w:r>
              <w:rPr>
                <w:sz w:val="16"/>
              </w:rPr>
              <w:t>3/16</w:t>
            </w:r>
          </w:p>
        </w:tc>
        <w:tc>
          <w:tcPr>
            <w:tcW w:w="3806" w:type="dxa"/>
            <w:vAlign w:val="center"/>
            <w:hideMark/>
          </w:tcPr>
          <w:p w14:paraId="246DDE45" w14:textId="77777777" w:rsidR="00DB00B9" w:rsidRDefault="00DB00B9">
            <w:pPr>
              <w:pStyle w:val="bmdsTblBody"/>
              <w:jc w:val="center"/>
            </w:pPr>
            <w:r>
              <w:rPr>
                <w:sz w:val="16"/>
              </w:rPr>
              <w:t>19%</w:t>
            </w:r>
          </w:p>
        </w:tc>
        <w:tc>
          <w:tcPr>
            <w:tcW w:w="3806" w:type="dxa"/>
            <w:vAlign w:val="center"/>
            <w:hideMark/>
          </w:tcPr>
          <w:p w14:paraId="25F4CF44" w14:textId="77777777" w:rsidR="00DB00B9" w:rsidRDefault="00DB00B9">
            <w:pPr>
              <w:pStyle w:val="bmdsTblBody"/>
              <w:jc w:val="center"/>
            </w:pPr>
            <w:proofErr w:type="spellStart"/>
            <w:r>
              <w:rPr>
                <w:sz w:val="16"/>
              </w:rPr>
              <w:t>kif23</w:t>
            </w:r>
            <w:proofErr w:type="spellEnd"/>
            <w:r>
              <w:rPr>
                <w:sz w:val="16"/>
              </w:rPr>
              <w:t xml:space="preserve">; </w:t>
            </w:r>
            <w:proofErr w:type="spellStart"/>
            <w:r>
              <w:rPr>
                <w:sz w:val="16"/>
              </w:rPr>
              <w:t>kif20a</w:t>
            </w:r>
            <w:proofErr w:type="spellEnd"/>
            <w:r>
              <w:rPr>
                <w:sz w:val="16"/>
              </w:rPr>
              <w:t xml:space="preserve">; </w:t>
            </w:r>
            <w:proofErr w:type="spellStart"/>
            <w:r>
              <w:rPr>
                <w:sz w:val="16"/>
              </w:rPr>
              <w:t>ect2</w:t>
            </w:r>
            <w:proofErr w:type="spellEnd"/>
          </w:p>
        </w:tc>
        <w:tc>
          <w:tcPr>
            <w:tcW w:w="3806" w:type="dxa"/>
            <w:vAlign w:val="center"/>
            <w:hideMark/>
          </w:tcPr>
          <w:p w14:paraId="3BC02125" w14:textId="77777777" w:rsidR="00DB00B9" w:rsidRDefault="00DB00B9">
            <w:pPr>
              <w:pStyle w:val="bmdsTblBody"/>
              <w:jc w:val="center"/>
            </w:pPr>
            <w:r>
              <w:rPr>
                <w:sz w:val="16"/>
              </w:rPr>
              <w:t>31.232</w:t>
            </w:r>
          </w:p>
        </w:tc>
        <w:tc>
          <w:tcPr>
            <w:tcW w:w="3806" w:type="dxa"/>
            <w:vAlign w:val="center"/>
            <w:hideMark/>
          </w:tcPr>
          <w:p w14:paraId="54C4602E" w14:textId="77777777" w:rsidR="00DB00B9" w:rsidRDefault="00DB00B9">
            <w:pPr>
              <w:pStyle w:val="bmdsTblBody"/>
              <w:jc w:val="center"/>
            </w:pPr>
            <w:r>
              <w:rPr>
                <w:sz w:val="16"/>
              </w:rPr>
              <w:t>15.546-67.195</w:t>
            </w:r>
          </w:p>
        </w:tc>
        <w:tc>
          <w:tcPr>
            <w:tcW w:w="3806" w:type="dxa"/>
            <w:vAlign w:val="center"/>
            <w:hideMark/>
          </w:tcPr>
          <w:p w14:paraId="0CAAB974" w14:textId="77777777" w:rsidR="00DB00B9" w:rsidRDefault="00DB00B9">
            <w:pPr>
              <w:pStyle w:val="bmdsTblBody"/>
              <w:jc w:val="center"/>
            </w:pPr>
            <w:r>
              <w:rPr>
                <w:sz w:val="16"/>
              </w:rPr>
              <w:t>0</w:t>
            </w:r>
          </w:p>
        </w:tc>
        <w:tc>
          <w:tcPr>
            <w:tcW w:w="3806" w:type="dxa"/>
            <w:vAlign w:val="center"/>
            <w:hideMark/>
          </w:tcPr>
          <w:p w14:paraId="0C994A78" w14:textId="77777777" w:rsidR="00DB00B9" w:rsidRDefault="00DB00B9">
            <w:pPr>
              <w:pStyle w:val="bmdsTblBody"/>
              <w:jc w:val="center"/>
            </w:pPr>
            <w:r>
              <w:rPr>
                <w:sz w:val="16"/>
              </w:rPr>
              <w:t>3</w:t>
            </w:r>
          </w:p>
        </w:tc>
      </w:tr>
      <w:tr w:rsidR="00DB00B9" w14:paraId="1A667C42" w14:textId="77777777" w:rsidTr="00DB00B9">
        <w:tc>
          <w:tcPr>
            <w:tcW w:w="8640" w:type="dxa"/>
            <w:vAlign w:val="center"/>
            <w:hideMark/>
          </w:tcPr>
          <w:p w14:paraId="4B9BF526" w14:textId="77777777" w:rsidR="00DB00B9" w:rsidRDefault="00DB00B9">
            <w:pPr>
              <w:pStyle w:val="bmdsTblBody"/>
            </w:pPr>
            <w:r>
              <w:rPr>
                <w:b/>
              </w:rPr>
              <w:t>GO:0046685</w:t>
            </w:r>
          </w:p>
          <w:p w14:paraId="3918805B" w14:textId="77777777" w:rsidR="00DB00B9" w:rsidRDefault="00DB00B9">
            <w:pPr>
              <w:pStyle w:val="bmdsTblBody"/>
            </w:pPr>
            <w:r>
              <w:t>response to arsenic-containing substance</w:t>
            </w:r>
          </w:p>
        </w:tc>
        <w:tc>
          <w:tcPr>
            <w:tcW w:w="3806" w:type="dxa"/>
            <w:vAlign w:val="center"/>
            <w:hideMark/>
          </w:tcPr>
          <w:p w14:paraId="7C00FCD2" w14:textId="77777777" w:rsidR="00DB00B9" w:rsidRDefault="00DB00B9">
            <w:pPr>
              <w:pStyle w:val="bmdsTblBody"/>
              <w:jc w:val="center"/>
            </w:pPr>
            <w:r>
              <w:rPr>
                <w:sz w:val="16"/>
              </w:rPr>
              <w:t>3/20</w:t>
            </w:r>
          </w:p>
        </w:tc>
        <w:tc>
          <w:tcPr>
            <w:tcW w:w="3806" w:type="dxa"/>
            <w:vAlign w:val="center"/>
            <w:hideMark/>
          </w:tcPr>
          <w:p w14:paraId="4CEFF55B" w14:textId="77777777" w:rsidR="00DB00B9" w:rsidRDefault="00DB00B9">
            <w:pPr>
              <w:pStyle w:val="bmdsTblBody"/>
              <w:jc w:val="center"/>
            </w:pPr>
            <w:r>
              <w:rPr>
                <w:sz w:val="16"/>
              </w:rPr>
              <w:t>15%</w:t>
            </w:r>
          </w:p>
        </w:tc>
        <w:tc>
          <w:tcPr>
            <w:tcW w:w="3806" w:type="dxa"/>
            <w:vAlign w:val="center"/>
            <w:hideMark/>
          </w:tcPr>
          <w:p w14:paraId="2CA481A5" w14:textId="77777777" w:rsidR="00DB00B9" w:rsidRDefault="00DB00B9">
            <w:pPr>
              <w:pStyle w:val="bmdsTblBody"/>
              <w:jc w:val="center"/>
            </w:pPr>
            <w:proofErr w:type="spellStart"/>
            <w:r>
              <w:rPr>
                <w:sz w:val="16"/>
              </w:rPr>
              <w:t>zfand2a</w:t>
            </w:r>
            <w:proofErr w:type="spellEnd"/>
            <w:r>
              <w:rPr>
                <w:sz w:val="16"/>
              </w:rPr>
              <w:t xml:space="preserve">; </w:t>
            </w:r>
            <w:proofErr w:type="spellStart"/>
            <w:r>
              <w:rPr>
                <w:sz w:val="16"/>
              </w:rPr>
              <w:t>nefh</w:t>
            </w:r>
            <w:proofErr w:type="spellEnd"/>
            <w:r>
              <w:rPr>
                <w:sz w:val="16"/>
              </w:rPr>
              <w:t xml:space="preserve">; </w:t>
            </w:r>
            <w:proofErr w:type="spellStart"/>
            <w:r>
              <w:rPr>
                <w:sz w:val="16"/>
              </w:rPr>
              <w:t>cyp1a1</w:t>
            </w:r>
            <w:proofErr w:type="spellEnd"/>
          </w:p>
        </w:tc>
        <w:tc>
          <w:tcPr>
            <w:tcW w:w="3806" w:type="dxa"/>
            <w:vAlign w:val="center"/>
            <w:hideMark/>
          </w:tcPr>
          <w:p w14:paraId="3E0E6BC3" w14:textId="77777777" w:rsidR="00DB00B9" w:rsidRDefault="00DB00B9">
            <w:pPr>
              <w:pStyle w:val="bmdsTblBody"/>
              <w:jc w:val="center"/>
            </w:pPr>
            <w:r>
              <w:rPr>
                <w:sz w:val="16"/>
              </w:rPr>
              <w:t>49.045</w:t>
            </w:r>
          </w:p>
        </w:tc>
        <w:tc>
          <w:tcPr>
            <w:tcW w:w="3806" w:type="dxa"/>
            <w:vAlign w:val="center"/>
            <w:hideMark/>
          </w:tcPr>
          <w:p w14:paraId="4A48E2FE" w14:textId="77777777" w:rsidR="00DB00B9" w:rsidRDefault="00DB00B9">
            <w:pPr>
              <w:pStyle w:val="bmdsTblBody"/>
              <w:jc w:val="center"/>
            </w:pPr>
            <w:r>
              <w:rPr>
                <w:sz w:val="16"/>
              </w:rPr>
              <w:t>39.236-64.853</w:t>
            </w:r>
          </w:p>
        </w:tc>
        <w:tc>
          <w:tcPr>
            <w:tcW w:w="3806" w:type="dxa"/>
            <w:vAlign w:val="center"/>
            <w:hideMark/>
          </w:tcPr>
          <w:p w14:paraId="69390B3A" w14:textId="77777777" w:rsidR="00DB00B9" w:rsidRDefault="00DB00B9">
            <w:pPr>
              <w:pStyle w:val="bmdsTblBody"/>
              <w:jc w:val="center"/>
            </w:pPr>
            <w:r>
              <w:rPr>
                <w:sz w:val="16"/>
              </w:rPr>
              <w:t>2</w:t>
            </w:r>
          </w:p>
        </w:tc>
        <w:tc>
          <w:tcPr>
            <w:tcW w:w="3806" w:type="dxa"/>
            <w:vAlign w:val="center"/>
            <w:hideMark/>
          </w:tcPr>
          <w:p w14:paraId="4C70B1EC" w14:textId="77777777" w:rsidR="00DB00B9" w:rsidRDefault="00DB00B9">
            <w:pPr>
              <w:pStyle w:val="bmdsTblBody"/>
              <w:jc w:val="center"/>
            </w:pPr>
            <w:r>
              <w:rPr>
                <w:sz w:val="16"/>
              </w:rPr>
              <w:t>1</w:t>
            </w:r>
          </w:p>
        </w:tc>
      </w:tr>
      <w:tr w:rsidR="00DB00B9" w14:paraId="4D8B9C73" w14:textId="77777777" w:rsidTr="00DB00B9">
        <w:tc>
          <w:tcPr>
            <w:tcW w:w="8640" w:type="dxa"/>
            <w:vAlign w:val="center"/>
            <w:hideMark/>
          </w:tcPr>
          <w:p w14:paraId="68B9BB6D" w14:textId="77777777" w:rsidR="00DB00B9" w:rsidRDefault="00DB00B9">
            <w:pPr>
              <w:pStyle w:val="bmdsTblBody"/>
            </w:pPr>
            <w:r>
              <w:rPr>
                <w:b/>
              </w:rPr>
              <w:t>GO:0098754</w:t>
            </w:r>
          </w:p>
          <w:p w14:paraId="3858416E" w14:textId="77777777" w:rsidR="00DB00B9" w:rsidRDefault="00DB00B9">
            <w:pPr>
              <w:pStyle w:val="bmdsTblBody"/>
            </w:pPr>
            <w:r>
              <w:t>detoxification</w:t>
            </w:r>
          </w:p>
        </w:tc>
        <w:tc>
          <w:tcPr>
            <w:tcW w:w="3806" w:type="dxa"/>
            <w:vAlign w:val="center"/>
            <w:hideMark/>
          </w:tcPr>
          <w:p w14:paraId="2CD2E3F7" w14:textId="77777777" w:rsidR="00DB00B9" w:rsidRDefault="00DB00B9">
            <w:pPr>
              <w:pStyle w:val="bmdsTblBody"/>
              <w:jc w:val="center"/>
            </w:pPr>
            <w:r>
              <w:rPr>
                <w:sz w:val="16"/>
              </w:rPr>
              <w:t>3/58</w:t>
            </w:r>
          </w:p>
        </w:tc>
        <w:tc>
          <w:tcPr>
            <w:tcW w:w="3806" w:type="dxa"/>
            <w:vAlign w:val="center"/>
            <w:hideMark/>
          </w:tcPr>
          <w:p w14:paraId="31804DC1" w14:textId="77777777" w:rsidR="00DB00B9" w:rsidRDefault="00DB00B9">
            <w:pPr>
              <w:pStyle w:val="bmdsTblBody"/>
              <w:jc w:val="center"/>
            </w:pPr>
            <w:r>
              <w:rPr>
                <w:sz w:val="16"/>
              </w:rPr>
              <w:t>5%</w:t>
            </w:r>
          </w:p>
        </w:tc>
        <w:tc>
          <w:tcPr>
            <w:tcW w:w="3806" w:type="dxa"/>
            <w:vAlign w:val="center"/>
            <w:hideMark/>
          </w:tcPr>
          <w:p w14:paraId="2233A27B" w14:textId="77777777" w:rsidR="00DB00B9" w:rsidRDefault="00DB00B9">
            <w:pPr>
              <w:pStyle w:val="bmdsTblBody"/>
              <w:jc w:val="center"/>
            </w:pPr>
            <w:proofErr w:type="spellStart"/>
            <w:r>
              <w:rPr>
                <w:sz w:val="16"/>
              </w:rPr>
              <w:t>nqo1</w:t>
            </w:r>
            <w:proofErr w:type="spellEnd"/>
            <w:r>
              <w:rPr>
                <w:sz w:val="16"/>
              </w:rPr>
              <w:t xml:space="preserve">; </w:t>
            </w:r>
            <w:proofErr w:type="spellStart"/>
            <w:r>
              <w:rPr>
                <w:sz w:val="16"/>
              </w:rPr>
              <w:t>mt1</w:t>
            </w:r>
            <w:proofErr w:type="spellEnd"/>
            <w:r>
              <w:rPr>
                <w:sz w:val="16"/>
              </w:rPr>
              <w:t xml:space="preserve">; </w:t>
            </w:r>
            <w:proofErr w:type="spellStart"/>
            <w:r>
              <w:rPr>
                <w:sz w:val="16"/>
              </w:rPr>
              <w:t>akr7a3</w:t>
            </w:r>
            <w:proofErr w:type="spellEnd"/>
          </w:p>
        </w:tc>
        <w:tc>
          <w:tcPr>
            <w:tcW w:w="3806" w:type="dxa"/>
            <w:vAlign w:val="center"/>
            <w:hideMark/>
          </w:tcPr>
          <w:p w14:paraId="31ED1975" w14:textId="77777777" w:rsidR="00DB00B9" w:rsidRDefault="00DB00B9">
            <w:pPr>
              <w:pStyle w:val="bmdsTblBody"/>
              <w:jc w:val="center"/>
            </w:pPr>
            <w:r>
              <w:rPr>
                <w:sz w:val="16"/>
              </w:rPr>
              <w:t>62.795</w:t>
            </w:r>
          </w:p>
        </w:tc>
        <w:tc>
          <w:tcPr>
            <w:tcW w:w="3806" w:type="dxa"/>
            <w:vAlign w:val="center"/>
            <w:hideMark/>
          </w:tcPr>
          <w:p w14:paraId="6FF66FFF" w14:textId="77777777" w:rsidR="00DB00B9" w:rsidRDefault="00DB00B9">
            <w:pPr>
              <w:pStyle w:val="bmdsTblBody"/>
              <w:jc w:val="center"/>
            </w:pPr>
            <w:r>
              <w:rPr>
                <w:sz w:val="16"/>
              </w:rPr>
              <w:t>48.749-87.647</w:t>
            </w:r>
          </w:p>
        </w:tc>
        <w:tc>
          <w:tcPr>
            <w:tcW w:w="3806" w:type="dxa"/>
            <w:vAlign w:val="center"/>
            <w:hideMark/>
          </w:tcPr>
          <w:p w14:paraId="5C338950" w14:textId="77777777" w:rsidR="00DB00B9" w:rsidRDefault="00DB00B9">
            <w:pPr>
              <w:pStyle w:val="bmdsTblBody"/>
              <w:jc w:val="center"/>
            </w:pPr>
            <w:r>
              <w:rPr>
                <w:sz w:val="16"/>
              </w:rPr>
              <w:t>2</w:t>
            </w:r>
          </w:p>
        </w:tc>
        <w:tc>
          <w:tcPr>
            <w:tcW w:w="3806" w:type="dxa"/>
            <w:vAlign w:val="center"/>
            <w:hideMark/>
          </w:tcPr>
          <w:p w14:paraId="4027AFAF" w14:textId="77777777" w:rsidR="00DB00B9" w:rsidRDefault="00DB00B9">
            <w:pPr>
              <w:pStyle w:val="bmdsTblBody"/>
              <w:jc w:val="center"/>
            </w:pPr>
            <w:r>
              <w:rPr>
                <w:sz w:val="16"/>
              </w:rPr>
              <w:t>1</w:t>
            </w:r>
          </w:p>
        </w:tc>
      </w:tr>
      <w:tr w:rsidR="00DB00B9" w14:paraId="7129AC3C" w14:textId="77777777" w:rsidTr="00DB00B9">
        <w:tc>
          <w:tcPr>
            <w:tcW w:w="8640" w:type="dxa"/>
            <w:vAlign w:val="center"/>
            <w:hideMark/>
          </w:tcPr>
          <w:p w14:paraId="7FFDB360" w14:textId="77777777" w:rsidR="00DB00B9" w:rsidRDefault="00DB00B9">
            <w:pPr>
              <w:pStyle w:val="bmdsTblBody"/>
            </w:pPr>
            <w:r>
              <w:rPr>
                <w:b/>
              </w:rPr>
              <w:t>GO:0001822</w:t>
            </w:r>
          </w:p>
          <w:p w14:paraId="42D774A4" w14:textId="77777777" w:rsidR="00DB00B9" w:rsidRDefault="00DB00B9">
            <w:pPr>
              <w:pStyle w:val="bmdsTblBody"/>
            </w:pPr>
            <w:r>
              <w:t>kidney development</w:t>
            </w:r>
          </w:p>
        </w:tc>
        <w:tc>
          <w:tcPr>
            <w:tcW w:w="3806" w:type="dxa"/>
            <w:vAlign w:val="center"/>
            <w:hideMark/>
          </w:tcPr>
          <w:p w14:paraId="5EA2A0B3" w14:textId="77777777" w:rsidR="00DB00B9" w:rsidRDefault="00DB00B9">
            <w:pPr>
              <w:pStyle w:val="bmdsTblBody"/>
              <w:jc w:val="center"/>
            </w:pPr>
            <w:r>
              <w:rPr>
                <w:sz w:val="16"/>
              </w:rPr>
              <w:t>4/53</w:t>
            </w:r>
          </w:p>
        </w:tc>
        <w:tc>
          <w:tcPr>
            <w:tcW w:w="3806" w:type="dxa"/>
            <w:vAlign w:val="center"/>
            <w:hideMark/>
          </w:tcPr>
          <w:p w14:paraId="1FFBED2A" w14:textId="77777777" w:rsidR="00DB00B9" w:rsidRDefault="00DB00B9">
            <w:pPr>
              <w:pStyle w:val="bmdsTblBody"/>
              <w:jc w:val="center"/>
            </w:pPr>
            <w:r>
              <w:rPr>
                <w:sz w:val="16"/>
              </w:rPr>
              <w:t>8%</w:t>
            </w:r>
          </w:p>
        </w:tc>
        <w:tc>
          <w:tcPr>
            <w:tcW w:w="3806" w:type="dxa"/>
            <w:vAlign w:val="center"/>
            <w:hideMark/>
          </w:tcPr>
          <w:p w14:paraId="1EC61A95" w14:textId="77777777" w:rsidR="00DB00B9" w:rsidRDefault="00DB00B9">
            <w:pPr>
              <w:pStyle w:val="bmdsTblBody"/>
              <w:jc w:val="center"/>
            </w:pPr>
            <w:proofErr w:type="spellStart"/>
            <w:r>
              <w:rPr>
                <w:sz w:val="16"/>
              </w:rPr>
              <w:t>zfp354a</w:t>
            </w:r>
            <w:proofErr w:type="spellEnd"/>
            <w:r>
              <w:rPr>
                <w:sz w:val="16"/>
              </w:rPr>
              <w:t xml:space="preserve">; </w:t>
            </w:r>
            <w:proofErr w:type="spellStart"/>
            <w:r>
              <w:rPr>
                <w:sz w:val="16"/>
              </w:rPr>
              <w:t>rgn</w:t>
            </w:r>
            <w:proofErr w:type="spellEnd"/>
            <w:r>
              <w:rPr>
                <w:sz w:val="16"/>
              </w:rPr>
              <w:t xml:space="preserve">; </w:t>
            </w:r>
            <w:proofErr w:type="spellStart"/>
            <w:r>
              <w:rPr>
                <w:sz w:val="16"/>
              </w:rPr>
              <w:t>hmgcs2</w:t>
            </w:r>
            <w:proofErr w:type="spellEnd"/>
            <w:r>
              <w:rPr>
                <w:sz w:val="16"/>
              </w:rPr>
              <w:t xml:space="preserve">; </w:t>
            </w:r>
            <w:proofErr w:type="spellStart"/>
            <w:r>
              <w:rPr>
                <w:sz w:val="16"/>
              </w:rPr>
              <w:t>cyp4a8</w:t>
            </w:r>
            <w:proofErr w:type="spellEnd"/>
          </w:p>
        </w:tc>
        <w:tc>
          <w:tcPr>
            <w:tcW w:w="3806" w:type="dxa"/>
            <w:vAlign w:val="center"/>
            <w:hideMark/>
          </w:tcPr>
          <w:p w14:paraId="30F6940E" w14:textId="77777777" w:rsidR="00DB00B9" w:rsidRDefault="00DB00B9">
            <w:pPr>
              <w:pStyle w:val="bmdsTblBody"/>
              <w:jc w:val="center"/>
            </w:pPr>
            <w:r>
              <w:rPr>
                <w:sz w:val="16"/>
              </w:rPr>
              <w:t>102.787</w:t>
            </w:r>
          </w:p>
        </w:tc>
        <w:tc>
          <w:tcPr>
            <w:tcW w:w="3806" w:type="dxa"/>
            <w:vAlign w:val="center"/>
            <w:hideMark/>
          </w:tcPr>
          <w:p w14:paraId="7E9AB353" w14:textId="77777777" w:rsidR="00DB00B9" w:rsidRDefault="00DB00B9">
            <w:pPr>
              <w:pStyle w:val="bmdsTblBody"/>
              <w:jc w:val="center"/>
            </w:pPr>
            <w:r>
              <w:rPr>
                <w:sz w:val="16"/>
              </w:rPr>
              <w:t>65.463-185.933</w:t>
            </w:r>
          </w:p>
        </w:tc>
        <w:tc>
          <w:tcPr>
            <w:tcW w:w="3806" w:type="dxa"/>
            <w:vAlign w:val="center"/>
            <w:hideMark/>
          </w:tcPr>
          <w:p w14:paraId="0FDE79FB" w14:textId="77777777" w:rsidR="00DB00B9" w:rsidRDefault="00DB00B9">
            <w:pPr>
              <w:pStyle w:val="bmdsTblBody"/>
              <w:jc w:val="center"/>
            </w:pPr>
            <w:r>
              <w:rPr>
                <w:sz w:val="16"/>
              </w:rPr>
              <w:t>1</w:t>
            </w:r>
          </w:p>
        </w:tc>
        <w:tc>
          <w:tcPr>
            <w:tcW w:w="3806" w:type="dxa"/>
            <w:vAlign w:val="center"/>
            <w:hideMark/>
          </w:tcPr>
          <w:p w14:paraId="64FA4B5A" w14:textId="77777777" w:rsidR="00DB00B9" w:rsidRDefault="00DB00B9">
            <w:pPr>
              <w:pStyle w:val="bmdsTblBody"/>
              <w:jc w:val="center"/>
            </w:pPr>
            <w:r>
              <w:rPr>
                <w:sz w:val="16"/>
              </w:rPr>
              <w:t>3</w:t>
            </w:r>
          </w:p>
        </w:tc>
      </w:tr>
      <w:tr w:rsidR="00DB00B9" w14:paraId="761DE9AF" w14:textId="77777777" w:rsidTr="00DB00B9">
        <w:tc>
          <w:tcPr>
            <w:tcW w:w="8640" w:type="dxa"/>
            <w:vAlign w:val="center"/>
            <w:hideMark/>
          </w:tcPr>
          <w:p w14:paraId="66C17341" w14:textId="77777777" w:rsidR="00DB00B9" w:rsidRDefault="00DB00B9">
            <w:pPr>
              <w:pStyle w:val="bmdsTblBody"/>
            </w:pPr>
            <w:r>
              <w:rPr>
                <w:b/>
              </w:rPr>
              <w:t>GO:1901570</w:t>
            </w:r>
          </w:p>
          <w:p w14:paraId="266F6F63" w14:textId="77777777" w:rsidR="00DB00B9" w:rsidRDefault="00DB00B9">
            <w:pPr>
              <w:pStyle w:val="bmdsTblBody"/>
            </w:pPr>
            <w:r>
              <w:t>fatty acid derivative biosynthetic process</w:t>
            </w:r>
          </w:p>
        </w:tc>
        <w:tc>
          <w:tcPr>
            <w:tcW w:w="3806" w:type="dxa"/>
            <w:vAlign w:val="center"/>
            <w:hideMark/>
          </w:tcPr>
          <w:p w14:paraId="1C10FC96" w14:textId="77777777" w:rsidR="00DB00B9" w:rsidRDefault="00DB00B9">
            <w:pPr>
              <w:pStyle w:val="bmdsTblBody"/>
              <w:jc w:val="center"/>
            </w:pPr>
            <w:r>
              <w:rPr>
                <w:sz w:val="16"/>
              </w:rPr>
              <w:t>3/23</w:t>
            </w:r>
          </w:p>
        </w:tc>
        <w:tc>
          <w:tcPr>
            <w:tcW w:w="3806" w:type="dxa"/>
            <w:vAlign w:val="center"/>
            <w:hideMark/>
          </w:tcPr>
          <w:p w14:paraId="52B6D53E" w14:textId="77777777" w:rsidR="00DB00B9" w:rsidRDefault="00DB00B9">
            <w:pPr>
              <w:pStyle w:val="bmdsTblBody"/>
              <w:jc w:val="center"/>
            </w:pPr>
            <w:r>
              <w:rPr>
                <w:sz w:val="16"/>
              </w:rPr>
              <w:t>13%</w:t>
            </w:r>
          </w:p>
        </w:tc>
        <w:tc>
          <w:tcPr>
            <w:tcW w:w="3806" w:type="dxa"/>
            <w:vAlign w:val="center"/>
            <w:hideMark/>
          </w:tcPr>
          <w:p w14:paraId="4B1F81B1" w14:textId="77777777" w:rsidR="00DB00B9" w:rsidRDefault="00DB00B9">
            <w:pPr>
              <w:pStyle w:val="bmdsTblBody"/>
              <w:jc w:val="center"/>
            </w:pPr>
            <w:proofErr w:type="spellStart"/>
            <w:r>
              <w:rPr>
                <w:sz w:val="16"/>
              </w:rPr>
              <w:t>hmgcs2</w:t>
            </w:r>
            <w:proofErr w:type="spellEnd"/>
            <w:r>
              <w:rPr>
                <w:sz w:val="16"/>
              </w:rPr>
              <w:t xml:space="preserve">; </w:t>
            </w:r>
            <w:proofErr w:type="spellStart"/>
            <w:r>
              <w:rPr>
                <w:sz w:val="16"/>
              </w:rPr>
              <w:t>cyp4a8</w:t>
            </w:r>
            <w:proofErr w:type="spellEnd"/>
            <w:r>
              <w:rPr>
                <w:sz w:val="16"/>
              </w:rPr>
              <w:t xml:space="preserve">; </w:t>
            </w:r>
            <w:proofErr w:type="spellStart"/>
            <w:r>
              <w:rPr>
                <w:sz w:val="16"/>
              </w:rPr>
              <w:t>cyp2c11</w:t>
            </w:r>
            <w:proofErr w:type="spellEnd"/>
          </w:p>
        </w:tc>
        <w:tc>
          <w:tcPr>
            <w:tcW w:w="3806" w:type="dxa"/>
            <w:vAlign w:val="center"/>
            <w:hideMark/>
          </w:tcPr>
          <w:p w14:paraId="12BF38CC" w14:textId="77777777" w:rsidR="00DB00B9" w:rsidRDefault="00DB00B9">
            <w:pPr>
              <w:pStyle w:val="bmdsTblBody"/>
              <w:jc w:val="center"/>
            </w:pPr>
            <w:r>
              <w:rPr>
                <w:sz w:val="16"/>
              </w:rPr>
              <w:t>106.351</w:t>
            </w:r>
          </w:p>
        </w:tc>
        <w:tc>
          <w:tcPr>
            <w:tcW w:w="3806" w:type="dxa"/>
            <w:vAlign w:val="center"/>
            <w:hideMark/>
          </w:tcPr>
          <w:p w14:paraId="4CF2A740" w14:textId="77777777" w:rsidR="00DB00B9" w:rsidRDefault="00DB00B9">
            <w:pPr>
              <w:pStyle w:val="bmdsTblBody"/>
              <w:jc w:val="center"/>
            </w:pPr>
            <w:r>
              <w:rPr>
                <w:sz w:val="16"/>
              </w:rPr>
              <w:t>59.870-208.329</w:t>
            </w:r>
          </w:p>
        </w:tc>
        <w:tc>
          <w:tcPr>
            <w:tcW w:w="3806" w:type="dxa"/>
            <w:vAlign w:val="center"/>
            <w:hideMark/>
          </w:tcPr>
          <w:p w14:paraId="1407247C" w14:textId="77777777" w:rsidR="00DB00B9" w:rsidRDefault="00DB00B9">
            <w:pPr>
              <w:pStyle w:val="bmdsTblBody"/>
              <w:jc w:val="center"/>
            </w:pPr>
            <w:r>
              <w:rPr>
                <w:sz w:val="16"/>
              </w:rPr>
              <w:t>1</w:t>
            </w:r>
          </w:p>
        </w:tc>
        <w:tc>
          <w:tcPr>
            <w:tcW w:w="3806" w:type="dxa"/>
            <w:vAlign w:val="center"/>
            <w:hideMark/>
          </w:tcPr>
          <w:p w14:paraId="710F618A" w14:textId="77777777" w:rsidR="00DB00B9" w:rsidRDefault="00DB00B9">
            <w:pPr>
              <w:pStyle w:val="bmdsTblBody"/>
              <w:jc w:val="center"/>
            </w:pPr>
            <w:r>
              <w:rPr>
                <w:sz w:val="16"/>
              </w:rPr>
              <w:t>2</w:t>
            </w:r>
          </w:p>
        </w:tc>
      </w:tr>
      <w:tr w:rsidR="00DB00B9" w14:paraId="6ADBC01B" w14:textId="77777777" w:rsidTr="00DB00B9">
        <w:tc>
          <w:tcPr>
            <w:tcW w:w="8640" w:type="dxa"/>
            <w:tcBorders>
              <w:top w:val="nil"/>
              <w:left w:val="nil"/>
              <w:bottom w:val="single" w:sz="2" w:space="0" w:color="000000"/>
              <w:right w:val="nil"/>
            </w:tcBorders>
            <w:vAlign w:val="center"/>
            <w:hideMark/>
          </w:tcPr>
          <w:p w14:paraId="749AD6D5" w14:textId="77777777" w:rsidR="00DB00B9" w:rsidRDefault="00DB00B9">
            <w:pPr>
              <w:pStyle w:val="bmdsTblBody"/>
            </w:pPr>
            <w:r>
              <w:rPr>
                <w:b/>
              </w:rPr>
              <w:t>GO:0031099</w:t>
            </w:r>
          </w:p>
          <w:p w14:paraId="733097BF" w14:textId="77777777" w:rsidR="00DB00B9" w:rsidRDefault="00DB00B9">
            <w:pPr>
              <w:pStyle w:val="bmdsTblBody"/>
            </w:pPr>
            <w:r>
              <w:t>regeneration</w:t>
            </w:r>
          </w:p>
        </w:tc>
        <w:tc>
          <w:tcPr>
            <w:tcW w:w="3806" w:type="dxa"/>
            <w:tcBorders>
              <w:top w:val="nil"/>
              <w:left w:val="nil"/>
              <w:bottom w:val="single" w:sz="2" w:space="0" w:color="000000"/>
              <w:right w:val="nil"/>
            </w:tcBorders>
            <w:vAlign w:val="center"/>
            <w:hideMark/>
          </w:tcPr>
          <w:p w14:paraId="2A3A69A8" w14:textId="77777777" w:rsidR="00DB00B9" w:rsidRDefault="00DB00B9">
            <w:pPr>
              <w:pStyle w:val="bmdsTblBody"/>
              <w:jc w:val="center"/>
            </w:pPr>
            <w:r>
              <w:rPr>
                <w:sz w:val="16"/>
              </w:rPr>
              <w:t>7/120</w:t>
            </w:r>
          </w:p>
        </w:tc>
        <w:tc>
          <w:tcPr>
            <w:tcW w:w="3806" w:type="dxa"/>
            <w:tcBorders>
              <w:top w:val="nil"/>
              <w:left w:val="nil"/>
              <w:bottom w:val="single" w:sz="2" w:space="0" w:color="000000"/>
              <w:right w:val="nil"/>
            </w:tcBorders>
            <w:vAlign w:val="center"/>
            <w:hideMark/>
          </w:tcPr>
          <w:p w14:paraId="1DF421D5" w14:textId="77777777" w:rsidR="00DB00B9" w:rsidRDefault="00DB00B9">
            <w:pPr>
              <w:pStyle w:val="bmdsTblBody"/>
              <w:jc w:val="center"/>
            </w:pPr>
            <w:r>
              <w:rPr>
                <w:sz w:val="16"/>
              </w:rPr>
              <w:t>6%</w:t>
            </w:r>
          </w:p>
        </w:tc>
        <w:tc>
          <w:tcPr>
            <w:tcW w:w="3806" w:type="dxa"/>
            <w:tcBorders>
              <w:top w:val="nil"/>
              <w:left w:val="nil"/>
              <w:bottom w:val="single" w:sz="2" w:space="0" w:color="000000"/>
              <w:right w:val="nil"/>
            </w:tcBorders>
            <w:vAlign w:val="center"/>
            <w:hideMark/>
          </w:tcPr>
          <w:p w14:paraId="39C2AD04" w14:textId="77777777" w:rsidR="00DB00B9" w:rsidRDefault="00DB00B9">
            <w:pPr>
              <w:pStyle w:val="bmdsTblBody"/>
              <w:jc w:val="center"/>
            </w:pPr>
            <w:proofErr w:type="spellStart"/>
            <w:r>
              <w:rPr>
                <w:sz w:val="16"/>
              </w:rPr>
              <w:t>socs3</w:t>
            </w:r>
            <w:proofErr w:type="spellEnd"/>
            <w:r>
              <w:rPr>
                <w:sz w:val="16"/>
              </w:rPr>
              <w:t xml:space="preserve">; </w:t>
            </w:r>
            <w:proofErr w:type="spellStart"/>
            <w:r>
              <w:rPr>
                <w:sz w:val="16"/>
              </w:rPr>
              <w:t>rgn</w:t>
            </w:r>
            <w:proofErr w:type="spellEnd"/>
            <w:r>
              <w:rPr>
                <w:sz w:val="16"/>
              </w:rPr>
              <w:t xml:space="preserve">; </w:t>
            </w:r>
            <w:proofErr w:type="spellStart"/>
            <w:r>
              <w:rPr>
                <w:sz w:val="16"/>
              </w:rPr>
              <w:t>nrep</w:t>
            </w:r>
            <w:proofErr w:type="spellEnd"/>
            <w:r>
              <w:rPr>
                <w:sz w:val="16"/>
              </w:rPr>
              <w:t xml:space="preserve">; </w:t>
            </w:r>
            <w:proofErr w:type="spellStart"/>
            <w:r>
              <w:rPr>
                <w:sz w:val="16"/>
              </w:rPr>
              <w:t>nefh</w:t>
            </w:r>
            <w:proofErr w:type="spellEnd"/>
            <w:r>
              <w:rPr>
                <w:sz w:val="16"/>
              </w:rPr>
              <w:t xml:space="preserve">; </w:t>
            </w:r>
            <w:proofErr w:type="spellStart"/>
            <w:r>
              <w:rPr>
                <w:sz w:val="16"/>
              </w:rPr>
              <w:t>dmbt1</w:t>
            </w:r>
            <w:proofErr w:type="spellEnd"/>
            <w:r>
              <w:rPr>
                <w:sz w:val="16"/>
              </w:rPr>
              <w:t xml:space="preserve">; </w:t>
            </w:r>
            <w:proofErr w:type="spellStart"/>
            <w:r>
              <w:rPr>
                <w:sz w:val="16"/>
              </w:rPr>
              <w:t>cebpb</w:t>
            </w:r>
            <w:proofErr w:type="spellEnd"/>
            <w:r>
              <w:rPr>
                <w:sz w:val="16"/>
              </w:rPr>
              <w:t xml:space="preserve">; </w:t>
            </w:r>
            <w:proofErr w:type="spellStart"/>
            <w:r>
              <w:rPr>
                <w:sz w:val="16"/>
              </w:rPr>
              <w:t>alas2</w:t>
            </w:r>
            <w:proofErr w:type="spellEnd"/>
          </w:p>
        </w:tc>
        <w:tc>
          <w:tcPr>
            <w:tcW w:w="3806" w:type="dxa"/>
            <w:tcBorders>
              <w:top w:val="nil"/>
              <w:left w:val="nil"/>
              <w:bottom w:val="single" w:sz="2" w:space="0" w:color="000000"/>
              <w:right w:val="nil"/>
            </w:tcBorders>
            <w:vAlign w:val="center"/>
            <w:hideMark/>
          </w:tcPr>
          <w:p w14:paraId="7C74349D" w14:textId="77777777" w:rsidR="00DB00B9" w:rsidRDefault="00DB00B9">
            <w:pPr>
              <w:pStyle w:val="bmdsTblBody"/>
              <w:jc w:val="center"/>
            </w:pPr>
            <w:r>
              <w:rPr>
                <w:sz w:val="16"/>
              </w:rPr>
              <w:t>114.178</w:t>
            </w:r>
          </w:p>
        </w:tc>
        <w:tc>
          <w:tcPr>
            <w:tcW w:w="3806" w:type="dxa"/>
            <w:tcBorders>
              <w:top w:val="nil"/>
              <w:left w:val="nil"/>
              <w:bottom w:val="single" w:sz="2" w:space="0" w:color="000000"/>
              <w:right w:val="nil"/>
            </w:tcBorders>
            <w:vAlign w:val="center"/>
            <w:hideMark/>
          </w:tcPr>
          <w:p w14:paraId="111353CA" w14:textId="77777777" w:rsidR="00DB00B9" w:rsidRDefault="00DB00B9">
            <w:pPr>
              <w:pStyle w:val="bmdsTblBody"/>
              <w:jc w:val="center"/>
            </w:pPr>
            <w:r>
              <w:rPr>
                <w:sz w:val="16"/>
              </w:rPr>
              <w:t>79.082-204.229</w:t>
            </w:r>
          </w:p>
        </w:tc>
        <w:tc>
          <w:tcPr>
            <w:tcW w:w="3806" w:type="dxa"/>
            <w:tcBorders>
              <w:top w:val="nil"/>
              <w:left w:val="nil"/>
              <w:bottom w:val="single" w:sz="2" w:space="0" w:color="000000"/>
              <w:right w:val="nil"/>
            </w:tcBorders>
            <w:vAlign w:val="center"/>
            <w:hideMark/>
          </w:tcPr>
          <w:p w14:paraId="2D821D76" w14:textId="77777777" w:rsidR="00DB00B9" w:rsidRDefault="00DB00B9">
            <w:pPr>
              <w:pStyle w:val="bmdsTblBody"/>
              <w:jc w:val="center"/>
            </w:pPr>
            <w:r>
              <w:rPr>
                <w:sz w:val="16"/>
              </w:rPr>
              <w:t>2</w:t>
            </w:r>
          </w:p>
        </w:tc>
        <w:tc>
          <w:tcPr>
            <w:tcW w:w="3806" w:type="dxa"/>
            <w:tcBorders>
              <w:top w:val="nil"/>
              <w:left w:val="nil"/>
              <w:bottom w:val="single" w:sz="2" w:space="0" w:color="000000"/>
              <w:right w:val="nil"/>
            </w:tcBorders>
            <w:vAlign w:val="center"/>
            <w:hideMark/>
          </w:tcPr>
          <w:p w14:paraId="73B110BB" w14:textId="77777777" w:rsidR="00DB00B9" w:rsidRDefault="00DB00B9">
            <w:pPr>
              <w:pStyle w:val="bmdsTblBody"/>
              <w:jc w:val="center"/>
            </w:pPr>
            <w:r>
              <w:rPr>
                <w:sz w:val="16"/>
              </w:rPr>
              <w:t>5</w:t>
            </w:r>
          </w:p>
        </w:tc>
      </w:tr>
    </w:tbl>
    <w:p w14:paraId="0B65B47D" w14:textId="77777777" w:rsidR="00DB00B9" w:rsidRDefault="00DB00B9" w:rsidP="00DB00B9">
      <w:pPr>
        <w:pStyle w:val="bmdsTblFootnote"/>
      </w:pPr>
      <w:r>
        <w:t>Official gene symbols from the Rat Genome Database are shown in the “Active Genes” column. Definitions of Gene Ontology terms were provided by the Gene Ontology Resource (http://geneontology.org/).</w:t>
      </w:r>
    </w:p>
    <w:p w14:paraId="57C9C972" w14:textId="0498F430" w:rsidR="00DB00B9" w:rsidRDefault="00DB00B9" w:rsidP="00DB00B9">
      <w:pPr>
        <w:pStyle w:val="bmdsTblFootnote"/>
      </w:pPr>
      <w:r>
        <w:rPr>
          <w:b/>
        </w:rPr>
        <w:t>GO process description version:</w:t>
      </w:r>
      <w:r>
        <w:t xml:space="preserve"> </w:t>
      </w:r>
      <w:r w:rsidR="009D0756">
        <w:t xml:space="preserve">https://cebs.niehs.nih.gov/cebs/study/002-00600-0002-000-0 </w:t>
      </w:r>
      <w:proofErr w:type="spellStart"/>
      <w:r w:rsidR="00A873A7">
        <w:t>V04132020</w:t>
      </w:r>
      <w:proofErr w:type="spellEnd"/>
    </w:p>
    <w:p w14:paraId="7341F06E" w14:textId="77777777" w:rsidR="00DB00B9" w:rsidRDefault="00DB00B9" w:rsidP="00DB00B9">
      <w:pPr>
        <w:pStyle w:val="bmdsTblFootnote"/>
      </w:pPr>
      <w:r>
        <w:rPr>
          <w:b/>
        </w:rPr>
        <w:t>GO:0007420 brain development:</w:t>
      </w:r>
      <w:r>
        <w:t xml:space="preserve"> The process whose specific outcome is the progression of the brain over time, from its formation to the mature structure. Brain development begins with patterning events in the neural tube and ends with the mature structure that is the center of thought and emotion. The brain is responsible for the coordination and control of bodily activities and the interpretation of information from the senses (sight, hearing, smell, etc.).</w:t>
      </w:r>
    </w:p>
    <w:p w14:paraId="43B199E1" w14:textId="77777777" w:rsidR="00DB00B9" w:rsidRDefault="00DB00B9" w:rsidP="00DB00B9">
      <w:pPr>
        <w:pStyle w:val="bmdsTblFootnote"/>
      </w:pPr>
      <w:r>
        <w:rPr>
          <w:b/>
        </w:rPr>
        <w:t>GO:0022412 cellular process involved in reproduction in multicellular organism:</w:t>
      </w:r>
      <w:r>
        <w:t xml:space="preserve"> A process, occurring at the cellular level, that is involved in the reproductive function of a multicellular organism.</w:t>
      </w:r>
    </w:p>
    <w:p w14:paraId="0F693890" w14:textId="77777777" w:rsidR="00DB00B9" w:rsidRDefault="00DB00B9" w:rsidP="00DB00B9">
      <w:pPr>
        <w:pStyle w:val="bmdsTblFootnote"/>
      </w:pPr>
      <w:r>
        <w:rPr>
          <w:b/>
        </w:rPr>
        <w:t>GO:1903046 meiotic cell cycle process:</w:t>
      </w:r>
      <w:r>
        <w:t xml:space="preserve"> A process that is part of the meiotic cell cycle.</w:t>
      </w:r>
    </w:p>
    <w:p w14:paraId="52ABAE66" w14:textId="77777777" w:rsidR="00DB00B9" w:rsidRDefault="00DB00B9" w:rsidP="00DB00B9">
      <w:pPr>
        <w:pStyle w:val="bmdsTblFootnote"/>
      </w:pPr>
      <w:r>
        <w:rPr>
          <w:b/>
        </w:rPr>
        <w:t>GO:0051301 cell division:</w:t>
      </w:r>
      <w:r>
        <w:t xml:space="preserve"> The process resulting in division and partitioning of components of a cell to form more cells; may or may not be accompanied by the physical separation of a cell into distinct, individually membrane-bounded daughter cells.</w:t>
      </w:r>
    </w:p>
    <w:p w14:paraId="1F4E60D7" w14:textId="77777777" w:rsidR="00DB00B9" w:rsidRDefault="00DB00B9" w:rsidP="00DB00B9">
      <w:pPr>
        <w:pStyle w:val="bmdsTblFootnote"/>
      </w:pPr>
      <w:r>
        <w:rPr>
          <w:b/>
        </w:rPr>
        <w:lastRenderedPageBreak/>
        <w:t>GO:0000281 mitotic cytokinesis:</w:t>
      </w:r>
      <w:r>
        <w:t xml:space="preserve"> A cell cycle process that results in the division of the cytoplasm of a cell after mitosis, resulting in the separation of the original cell into two daughter cells.</w:t>
      </w:r>
    </w:p>
    <w:p w14:paraId="1CE5CD28" w14:textId="77777777" w:rsidR="00DB00B9" w:rsidRDefault="00DB00B9" w:rsidP="00DB00B9">
      <w:pPr>
        <w:pStyle w:val="bmdsTblFootnote"/>
      </w:pPr>
      <w:r>
        <w:rPr>
          <w:b/>
        </w:rPr>
        <w:t>GO:0046685 response to arsenic-containing substance:</w:t>
      </w:r>
      <w:r>
        <w:t xml:space="preserve"> Any process that results in a change in state or activity of a cell or an organism (in terms of movement, secretion, enzyme production, gene expression, etc.) as a result of an arsenic stimulus from compounds containing arsenic, including arsenates, </w:t>
      </w:r>
      <w:proofErr w:type="spellStart"/>
      <w:r>
        <w:t>arsenites</w:t>
      </w:r>
      <w:proofErr w:type="spellEnd"/>
      <w:r>
        <w:t xml:space="preserve">, and </w:t>
      </w:r>
      <w:proofErr w:type="spellStart"/>
      <w:r>
        <w:t>arsenides</w:t>
      </w:r>
      <w:proofErr w:type="spellEnd"/>
      <w:r>
        <w:t>.</w:t>
      </w:r>
    </w:p>
    <w:p w14:paraId="36FC4216" w14:textId="77777777" w:rsidR="00DB00B9" w:rsidRDefault="00DB00B9" w:rsidP="00DB00B9">
      <w:pPr>
        <w:pStyle w:val="bmdsTblFootnote"/>
      </w:pPr>
      <w:r>
        <w:rPr>
          <w:b/>
        </w:rPr>
        <w:t>GO:0098754 detoxification:</w:t>
      </w:r>
      <w:r>
        <w:t xml:space="preserve"> Any process that reduces or removes the toxicity of a toxic substance. These may include transport of the toxic substance away from sensitive areas and to compartments or complexes whose purpose is sequestration of the toxic substance.</w:t>
      </w:r>
    </w:p>
    <w:p w14:paraId="06801592" w14:textId="77777777" w:rsidR="00DB00B9" w:rsidRDefault="00DB00B9" w:rsidP="00DB00B9">
      <w:pPr>
        <w:pStyle w:val="bmdsTblFootnote"/>
      </w:pPr>
      <w:r>
        <w:rPr>
          <w:b/>
        </w:rPr>
        <w:t>GO:0001822 kidney development:</w:t>
      </w:r>
      <w:r>
        <w:t xml:space="preserve"> The process whose specific outcome is the progression of the kidney over time, from its formation to the mature structure. The kidney is an organ that filters the blood and/or excretes the end products of body metabolism in the form of urine.</w:t>
      </w:r>
    </w:p>
    <w:p w14:paraId="7AC831C4" w14:textId="77777777" w:rsidR="00DB00B9" w:rsidRDefault="00DB00B9" w:rsidP="00DB00B9">
      <w:pPr>
        <w:pStyle w:val="bmdsTblFootnote"/>
      </w:pPr>
      <w:r>
        <w:rPr>
          <w:b/>
        </w:rPr>
        <w:t>GO:1901570 fatty acid derivative biosynthetic process:</w:t>
      </w:r>
      <w:r>
        <w:t xml:space="preserve"> The chemical reactions and pathways resulting in the formation of fatty acid derivative.</w:t>
      </w:r>
    </w:p>
    <w:p w14:paraId="6D2A2117" w14:textId="77777777" w:rsidR="00DB00B9" w:rsidRDefault="00DB00B9" w:rsidP="00DB00B9">
      <w:pPr>
        <w:pStyle w:val="bmdsTblFootnote"/>
      </w:pPr>
      <w:r>
        <w:rPr>
          <w:b/>
        </w:rPr>
        <w:t>GO:0031099 regeneration:</w:t>
      </w:r>
      <w:r>
        <w:t xml:space="preserve"> The regrowth of a lost or destroyed body part, such as an organ or tissue. This process may occur via renewal, repair, and/or growth alone (i.e. increase in size or mass).</w:t>
      </w:r>
    </w:p>
    <w:p w14:paraId="044456FC" w14:textId="77777777" w:rsidR="00DB00B9" w:rsidRDefault="00DB00B9" w:rsidP="00DB00B9">
      <w:r>
        <w:br w:type="page"/>
      </w:r>
    </w:p>
    <w:p w14:paraId="4CC9BD1D" w14:textId="77777777" w:rsidR="00DB00B9" w:rsidRDefault="00DB00B9" w:rsidP="00DB00B9">
      <w:pPr>
        <w:pStyle w:val="Heading3"/>
      </w:pPr>
      <w:r>
        <w:lastRenderedPageBreak/>
        <w:t>Female Kidney Top 10 GO Biological Process Gene Sets Ranked by Potency of Perturbation (Sorted by BMD Median)</w:t>
      </w:r>
    </w:p>
    <w:tbl>
      <w:tblPr>
        <w:tblW w:w="0" w:type="auto"/>
        <w:tblLook w:val="04A0" w:firstRow="1" w:lastRow="0" w:firstColumn="1" w:lastColumn="0" w:noHBand="0" w:noVBand="1"/>
      </w:tblPr>
      <w:tblGrid>
        <w:gridCol w:w="1471"/>
        <w:gridCol w:w="1517"/>
        <w:gridCol w:w="1055"/>
        <w:gridCol w:w="927"/>
        <w:gridCol w:w="1219"/>
        <w:gridCol w:w="1079"/>
        <w:gridCol w:w="1046"/>
        <w:gridCol w:w="1046"/>
      </w:tblGrid>
      <w:tr w:rsidR="00DB00B9" w14:paraId="70F49C4E" w14:textId="77777777" w:rsidTr="00DB00B9">
        <w:tc>
          <w:tcPr>
            <w:tcW w:w="8640" w:type="dxa"/>
            <w:tcBorders>
              <w:top w:val="single" w:sz="2" w:space="0" w:color="000000"/>
              <w:left w:val="nil"/>
              <w:bottom w:val="single" w:sz="2" w:space="0" w:color="000000"/>
              <w:right w:val="nil"/>
            </w:tcBorders>
            <w:vAlign w:val="center"/>
            <w:hideMark/>
          </w:tcPr>
          <w:p w14:paraId="7268EAE2" w14:textId="77777777" w:rsidR="00DB00B9" w:rsidRDefault="00DB00B9">
            <w:pPr>
              <w:pStyle w:val="bmdsTblBody"/>
            </w:pPr>
            <w:r>
              <w:rPr>
                <w:b/>
              </w:rPr>
              <w:t>Category Name</w:t>
            </w:r>
          </w:p>
        </w:tc>
        <w:tc>
          <w:tcPr>
            <w:tcW w:w="3806" w:type="dxa"/>
            <w:tcBorders>
              <w:top w:val="single" w:sz="2" w:space="0" w:color="000000"/>
              <w:left w:val="nil"/>
              <w:bottom w:val="single" w:sz="2" w:space="0" w:color="000000"/>
              <w:right w:val="nil"/>
            </w:tcBorders>
            <w:vAlign w:val="center"/>
            <w:hideMark/>
          </w:tcPr>
          <w:p w14:paraId="3E07C8C7" w14:textId="77777777" w:rsidR="00DB00B9" w:rsidRDefault="00DB00B9">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4BAE4AB1" w14:textId="77777777" w:rsidR="00DB00B9" w:rsidRDefault="00DB00B9">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78743E51" w14:textId="77777777" w:rsidR="00DB00B9" w:rsidRDefault="00DB00B9">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1E879759" w14:textId="77777777" w:rsidR="00DB00B9" w:rsidRDefault="00DB00B9">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52C5F6CA" w14:textId="77777777" w:rsidR="00DB00B9" w:rsidRDefault="00DB00B9">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0F998BD6" w14:textId="77777777" w:rsidR="00DB00B9" w:rsidRDefault="00DB00B9">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10964C2A" w14:textId="77777777" w:rsidR="00DB00B9" w:rsidRDefault="00DB00B9">
            <w:pPr>
              <w:pStyle w:val="bmdsTblHeader"/>
              <w:jc w:val="center"/>
            </w:pPr>
            <w:r>
              <w:t>Genes with Changed Direction Down</w:t>
            </w:r>
          </w:p>
        </w:tc>
      </w:tr>
      <w:tr w:rsidR="00DB00B9" w14:paraId="3E1A15CC" w14:textId="77777777" w:rsidTr="00DB00B9">
        <w:tc>
          <w:tcPr>
            <w:tcW w:w="8640" w:type="dxa"/>
            <w:vAlign w:val="center"/>
            <w:hideMark/>
          </w:tcPr>
          <w:p w14:paraId="731D4D40" w14:textId="77777777" w:rsidR="00DB00B9" w:rsidRDefault="00DB00B9">
            <w:pPr>
              <w:pStyle w:val="bmdsTblBody"/>
            </w:pPr>
            <w:r>
              <w:rPr>
                <w:b/>
              </w:rPr>
              <w:t>GO:0048145</w:t>
            </w:r>
          </w:p>
          <w:p w14:paraId="46298643" w14:textId="77777777" w:rsidR="00DB00B9" w:rsidRDefault="00DB00B9">
            <w:pPr>
              <w:pStyle w:val="bmdsTblBody"/>
            </w:pPr>
            <w:r>
              <w:t>regulation of fibroblast proliferation</w:t>
            </w:r>
          </w:p>
        </w:tc>
        <w:tc>
          <w:tcPr>
            <w:tcW w:w="3806" w:type="dxa"/>
            <w:vAlign w:val="center"/>
            <w:hideMark/>
          </w:tcPr>
          <w:p w14:paraId="4210957A" w14:textId="77777777" w:rsidR="00DB00B9" w:rsidRDefault="00DB00B9">
            <w:pPr>
              <w:pStyle w:val="bmdsTblBody"/>
              <w:jc w:val="center"/>
            </w:pPr>
            <w:r>
              <w:rPr>
                <w:sz w:val="16"/>
              </w:rPr>
              <w:t>4/41</w:t>
            </w:r>
          </w:p>
        </w:tc>
        <w:tc>
          <w:tcPr>
            <w:tcW w:w="3806" w:type="dxa"/>
            <w:vAlign w:val="center"/>
            <w:hideMark/>
          </w:tcPr>
          <w:p w14:paraId="11433AB2" w14:textId="77777777" w:rsidR="00DB00B9" w:rsidRDefault="00DB00B9">
            <w:pPr>
              <w:pStyle w:val="bmdsTblBody"/>
              <w:jc w:val="center"/>
            </w:pPr>
            <w:r>
              <w:rPr>
                <w:sz w:val="16"/>
              </w:rPr>
              <w:t>10%</w:t>
            </w:r>
          </w:p>
        </w:tc>
        <w:tc>
          <w:tcPr>
            <w:tcW w:w="3806" w:type="dxa"/>
            <w:vAlign w:val="center"/>
            <w:hideMark/>
          </w:tcPr>
          <w:p w14:paraId="5B2F7C2E" w14:textId="77777777" w:rsidR="00DB00B9" w:rsidRDefault="00DB00B9">
            <w:pPr>
              <w:pStyle w:val="bmdsTblBody"/>
              <w:jc w:val="center"/>
            </w:pPr>
            <w:proofErr w:type="spellStart"/>
            <w:r>
              <w:rPr>
                <w:sz w:val="16"/>
              </w:rPr>
              <w:t>thy1</w:t>
            </w:r>
            <w:proofErr w:type="spellEnd"/>
            <w:r>
              <w:rPr>
                <w:sz w:val="16"/>
              </w:rPr>
              <w:t xml:space="preserve">; </w:t>
            </w:r>
            <w:proofErr w:type="spellStart"/>
            <w:r>
              <w:rPr>
                <w:sz w:val="16"/>
              </w:rPr>
              <w:t>mmp9</w:t>
            </w:r>
            <w:proofErr w:type="spellEnd"/>
            <w:r>
              <w:rPr>
                <w:sz w:val="16"/>
              </w:rPr>
              <w:t xml:space="preserve">; </w:t>
            </w:r>
            <w:proofErr w:type="spellStart"/>
            <w:r>
              <w:rPr>
                <w:sz w:val="16"/>
              </w:rPr>
              <w:t>gstp1</w:t>
            </w:r>
            <w:proofErr w:type="spellEnd"/>
            <w:r>
              <w:rPr>
                <w:sz w:val="16"/>
              </w:rPr>
              <w:t xml:space="preserve">; </w:t>
            </w:r>
            <w:proofErr w:type="spellStart"/>
            <w:r>
              <w:rPr>
                <w:sz w:val="16"/>
              </w:rPr>
              <w:t>ccna2</w:t>
            </w:r>
            <w:proofErr w:type="spellEnd"/>
          </w:p>
        </w:tc>
        <w:tc>
          <w:tcPr>
            <w:tcW w:w="3806" w:type="dxa"/>
            <w:vAlign w:val="center"/>
            <w:hideMark/>
          </w:tcPr>
          <w:p w14:paraId="47BBCF6C" w14:textId="77777777" w:rsidR="00DB00B9" w:rsidRDefault="00DB00B9">
            <w:pPr>
              <w:pStyle w:val="bmdsTblBody"/>
              <w:jc w:val="center"/>
            </w:pPr>
            <w:r>
              <w:rPr>
                <w:sz w:val="16"/>
              </w:rPr>
              <w:t>14.574</w:t>
            </w:r>
          </w:p>
        </w:tc>
        <w:tc>
          <w:tcPr>
            <w:tcW w:w="3806" w:type="dxa"/>
            <w:vAlign w:val="center"/>
            <w:hideMark/>
          </w:tcPr>
          <w:p w14:paraId="0B112C7E" w14:textId="77777777" w:rsidR="00DB00B9" w:rsidRDefault="00DB00B9">
            <w:pPr>
              <w:pStyle w:val="bmdsTblBody"/>
              <w:jc w:val="center"/>
            </w:pPr>
            <w:r>
              <w:rPr>
                <w:sz w:val="16"/>
              </w:rPr>
              <w:t>7.161-41.985</w:t>
            </w:r>
          </w:p>
        </w:tc>
        <w:tc>
          <w:tcPr>
            <w:tcW w:w="3806" w:type="dxa"/>
            <w:vAlign w:val="center"/>
            <w:hideMark/>
          </w:tcPr>
          <w:p w14:paraId="2CE4917A" w14:textId="77777777" w:rsidR="00DB00B9" w:rsidRDefault="00DB00B9">
            <w:pPr>
              <w:pStyle w:val="bmdsTblBody"/>
              <w:jc w:val="center"/>
            </w:pPr>
            <w:r>
              <w:rPr>
                <w:sz w:val="16"/>
              </w:rPr>
              <w:t>1</w:t>
            </w:r>
          </w:p>
        </w:tc>
        <w:tc>
          <w:tcPr>
            <w:tcW w:w="3806" w:type="dxa"/>
            <w:vAlign w:val="center"/>
            <w:hideMark/>
          </w:tcPr>
          <w:p w14:paraId="57ADB588" w14:textId="77777777" w:rsidR="00DB00B9" w:rsidRDefault="00DB00B9">
            <w:pPr>
              <w:pStyle w:val="bmdsTblBody"/>
              <w:jc w:val="center"/>
            </w:pPr>
            <w:r>
              <w:rPr>
                <w:sz w:val="16"/>
              </w:rPr>
              <w:t>3</w:t>
            </w:r>
          </w:p>
        </w:tc>
      </w:tr>
      <w:tr w:rsidR="00DB00B9" w14:paraId="05891CC6" w14:textId="77777777" w:rsidTr="00DB00B9">
        <w:tc>
          <w:tcPr>
            <w:tcW w:w="8640" w:type="dxa"/>
            <w:vAlign w:val="center"/>
            <w:hideMark/>
          </w:tcPr>
          <w:p w14:paraId="09C30276" w14:textId="77777777" w:rsidR="00DB00B9" w:rsidRDefault="00DB00B9">
            <w:pPr>
              <w:pStyle w:val="bmdsTblBody"/>
            </w:pPr>
            <w:r>
              <w:rPr>
                <w:b/>
              </w:rPr>
              <w:t>GO:0048147</w:t>
            </w:r>
          </w:p>
          <w:p w14:paraId="19422A0F" w14:textId="77777777" w:rsidR="00DB00B9" w:rsidRDefault="00DB00B9">
            <w:pPr>
              <w:pStyle w:val="bmdsTblBody"/>
            </w:pPr>
            <w:r>
              <w:t>negative regulation of fibroblast proliferation</w:t>
            </w:r>
          </w:p>
        </w:tc>
        <w:tc>
          <w:tcPr>
            <w:tcW w:w="3806" w:type="dxa"/>
            <w:vAlign w:val="center"/>
            <w:hideMark/>
          </w:tcPr>
          <w:p w14:paraId="1A5435FA" w14:textId="77777777" w:rsidR="00DB00B9" w:rsidRDefault="00DB00B9">
            <w:pPr>
              <w:pStyle w:val="bmdsTblBody"/>
              <w:jc w:val="center"/>
            </w:pPr>
            <w:r>
              <w:rPr>
                <w:sz w:val="16"/>
              </w:rPr>
              <w:t>3/11</w:t>
            </w:r>
          </w:p>
        </w:tc>
        <w:tc>
          <w:tcPr>
            <w:tcW w:w="3806" w:type="dxa"/>
            <w:vAlign w:val="center"/>
            <w:hideMark/>
          </w:tcPr>
          <w:p w14:paraId="2BA777F6" w14:textId="77777777" w:rsidR="00DB00B9" w:rsidRDefault="00DB00B9">
            <w:pPr>
              <w:pStyle w:val="bmdsTblBody"/>
              <w:jc w:val="center"/>
            </w:pPr>
            <w:r>
              <w:rPr>
                <w:sz w:val="16"/>
              </w:rPr>
              <w:t>27%</w:t>
            </w:r>
          </w:p>
        </w:tc>
        <w:tc>
          <w:tcPr>
            <w:tcW w:w="3806" w:type="dxa"/>
            <w:vAlign w:val="center"/>
            <w:hideMark/>
          </w:tcPr>
          <w:p w14:paraId="52B1DE6D" w14:textId="77777777" w:rsidR="00DB00B9" w:rsidRDefault="00DB00B9">
            <w:pPr>
              <w:pStyle w:val="bmdsTblBody"/>
              <w:jc w:val="center"/>
            </w:pPr>
            <w:proofErr w:type="spellStart"/>
            <w:r>
              <w:rPr>
                <w:sz w:val="16"/>
              </w:rPr>
              <w:t>thy1</w:t>
            </w:r>
            <w:proofErr w:type="spellEnd"/>
            <w:r>
              <w:rPr>
                <w:sz w:val="16"/>
              </w:rPr>
              <w:t xml:space="preserve">; </w:t>
            </w:r>
            <w:proofErr w:type="spellStart"/>
            <w:r>
              <w:rPr>
                <w:sz w:val="16"/>
              </w:rPr>
              <w:t>mmp9</w:t>
            </w:r>
            <w:proofErr w:type="spellEnd"/>
            <w:r>
              <w:rPr>
                <w:sz w:val="16"/>
              </w:rPr>
              <w:t xml:space="preserve">; </w:t>
            </w:r>
            <w:proofErr w:type="spellStart"/>
            <w:r>
              <w:rPr>
                <w:sz w:val="16"/>
              </w:rPr>
              <w:t>gstp1</w:t>
            </w:r>
            <w:proofErr w:type="spellEnd"/>
          </w:p>
        </w:tc>
        <w:tc>
          <w:tcPr>
            <w:tcW w:w="3806" w:type="dxa"/>
            <w:vAlign w:val="center"/>
            <w:hideMark/>
          </w:tcPr>
          <w:p w14:paraId="0CAECF12" w14:textId="77777777" w:rsidR="00DB00B9" w:rsidRDefault="00DB00B9">
            <w:pPr>
              <w:pStyle w:val="bmdsTblBody"/>
              <w:jc w:val="center"/>
            </w:pPr>
            <w:r>
              <w:rPr>
                <w:sz w:val="16"/>
              </w:rPr>
              <w:t>14.763</w:t>
            </w:r>
          </w:p>
        </w:tc>
        <w:tc>
          <w:tcPr>
            <w:tcW w:w="3806" w:type="dxa"/>
            <w:vAlign w:val="center"/>
            <w:hideMark/>
          </w:tcPr>
          <w:p w14:paraId="294AA65B" w14:textId="77777777" w:rsidR="00DB00B9" w:rsidRDefault="00DB00B9">
            <w:pPr>
              <w:pStyle w:val="bmdsTblBody"/>
              <w:jc w:val="center"/>
            </w:pPr>
            <w:r>
              <w:rPr>
                <w:sz w:val="16"/>
              </w:rPr>
              <w:t>9.430-25.720</w:t>
            </w:r>
          </w:p>
        </w:tc>
        <w:tc>
          <w:tcPr>
            <w:tcW w:w="3806" w:type="dxa"/>
            <w:vAlign w:val="center"/>
            <w:hideMark/>
          </w:tcPr>
          <w:p w14:paraId="2FDCA91B" w14:textId="77777777" w:rsidR="00DB00B9" w:rsidRDefault="00DB00B9">
            <w:pPr>
              <w:pStyle w:val="bmdsTblBody"/>
              <w:jc w:val="center"/>
            </w:pPr>
            <w:r>
              <w:rPr>
                <w:sz w:val="16"/>
              </w:rPr>
              <w:t>1</w:t>
            </w:r>
          </w:p>
        </w:tc>
        <w:tc>
          <w:tcPr>
            <w:tcW w:w="3806" w:type="dxa"/>
            <w:vAlign w:val="center"/>
            <w:hideMark/>
          </w:tcPr>
          <w:p w14:paraId="3F50458E" w14:textId="77777777" w:rsidR="00DB00B9" w:rsidRDefault="00DB00B9">
            <w:pPr>
              <w:pStyle w:val="bmdsTblBody"/>
              <w:jc w:val="center"/>
            </w:pPr>
            <w:r>
              <w:rPr>
                <w:sz w:val="16"/>
              </w:rPr>
              <w:t>2</w:t>
            </w:r>
          </w:p>
        </w:tc>
      </w:tr>
      <w:tr w:rsidR="00DB00B9" w14:paraId="7786F5C4" w14:textId="77777777" w:rsidTr="00DB00B9">
        <w:tc>
          <w:tcPr>
            <w:tcW w:w="8640" w:type="dxa"/>
            <w:vAlign w:val="center"/>
            <w:hideMark/>
          </w:tcPr>
          <w:p w14:paraId="782196A4" w14:textId="77777777" w:rsidR="00DB00B9" w:rsidRDefault="00DB00B9">
            <w:pPr>
              <w:pStyle w:val="bmdsTblBody"/>
            </w:pPr>
            <w:r>
              <w:rPr>
                <w:b/>
              </w:rPr>
              <w:t>GO:0001523</w:t>
            </w:r>
          </w:p>
          <w:p w14:paraId="3B9D130E" w14:textId="77777777" w:rsidR="00DB00B9" w:rsidRDefault="00DB00B9">
            <w:pPr>
              <w:pStyle w:val="bmdsTblBody"/>
            </w:pPr>
            <w:r>
              <w:t>retinoid metabolic process</w:t>
            </w:r>
          </w:p>
        </w:tc>
        <w:tc>
          <w:tcPr>
            <w:tcW w:w="3806" w:type="dxa"/>
            <w:vAlign w:val="center"/>
            <w:hideMark/>
          </w:tcPr>
          <w:p w14:paraId="13F0D522" w14:textId="77777777" w:rsidR="00DB00B9" w:rsidRDefault="00DB00B9">
            <w:pPr>
              <w:pStyle w:val="bmdsTblBody"/>
              <w:jc w:val="center"/>
            </w:pPr>
            <w:r>
              <w:rPr>
                <w:sz w:val="16"/>
              </w:rPr>
              <w:t>4/19</w:t>
            </w:r>
          </w:p>
        </w:tc>
        <w:tc>
          <w:tcPr>
            <w:tcW w:w="3806" w:type="dxa"/>
            <w:vAlign w:val="center"/>
            <w:hideMark/>
          </w:tcPr>
          <w:p w14:paraId="192D330D" w14:textId="77777777" w:rsidR="00DB00B9" w:rsidRDefault="00DB00B9">
            <w:pPr>
              <w:pStyle w:val="bmdsTblBody"/>
              <w:jc w:val="center"/>
            </w:pPr>
            <w:r>
              <w:rPr>
                <w:sz w:val="16"/>
              </w:rPr>
              <w:t>21%</w:t>
            </w:r>
          </w:p>
        </w:tc>
        <w:tc>
          <w:tcPr>
            <w:tcW w:w="3806" w:type="dxa"/>
            <w:vAlign w:val="center"/>
            <w:hideMark/>
          </w:tcPr>
          <w:p w14:paraId="760C27F3" w14:textId="77777777" w:rsidR="00DB00B9" w:rsidRDefault="00DB00B9">
            <w:pPr>
              <w:pStyle w:val="bmdsTblBody"/>
              <w:jc w:val="center"/>
            </w:pPr>
            <w:proofErr w:type="spellStart"/>
            <w:r>
              <w:rPr>
                <w:sz w:val="16"/>
              </w:rPr>
              <w:t>ppard</w:t>
            </w:r>
            <w:proofErr w:type="spellEnd"/>
            <w:r>
              <w:rPr>
                <w:sz w:val="16"/>
              </w:rPr>
              <w:t xml:space="preserve">; </w:t>
            </w:r>
            <w:proofErr w:type="spellStart"/>
            <w:r>
              <w:rPr>
                <w:sz w:val="16"/>
              </w:rPr>
              <w:t>cyp26b1</w:t>
            </w:r>
            <w:proofErr w:type="spellEnd"/>
            <w:r>
              <w:rPr>
                <w:sz w:val="16"/>
              </w:rPr>
              <w:t xml:space="preserve">; </w:t>
            </w:r>
            <w:proofErr w:type="spellStart"/>
            <w:r>
              <w:rPr>
                <w:sz w:val="16"/>
              </w:rPr>
              <w:t>cyp1a1</w:t>
            </w:r>
            <w:proofErr w:type="spellEnd"/>
            <w:r>
              <w:rPr>
                <w:sz w:val="16"/>
              </w:rPr>
              <w:t xml:space="preserve">; </w:t>
            </w:r>
            <w:proofErr w:type="spellStart"/>
            <w:r>
              <w:rPr>
                <w:sz w:val="16"/>
              </w:rPr>
              <w:t>ces1d</w:t>
            </w:r>
            <w:proofErr w:type="spellEnd"/>
          </w:p>
        </w:tc>
        <w:tc>
          <w:tcPr>
            <w:tcW w:w="3806" w:type="dxa"/>
            <w:vAlign w:val="center"/>
            <w:hideMark/>
          </w:tcPr>
          <w:p w14:paraId="4B659840" w14:textId="77777777" w:rsidR="00DB00B9" w:rsidRDefault="00DB00B9">
            <w:pPr>
              <w:pStyle w:val="bmdsTblBody"/>
              <w:jc w:val="center"/>
            </w:pPr>
            <w:r>
              <w:rPr>
                <w:sz w:val="16"/>
              </w:rPr>
              <w:t>15.537</w:t>
            </w:r>
          </w:p>
        </w:tc>
        <w:tc>
          <w:tcPr>
            <w:tcW w:w="3806" w:type="dxa"/>
            <w:vAlign w:val="center"/>
            <w:hideMark/>
          </w:tcPr>
          <w:p w14:paraId="138EBC93" w14:textId="77777777" w:rsidR="00DB00B9" w:rsidRDefault="00DB00B9">
            <w:pPr>
              <w:pStyle w:val="bmdsTblBody"/>
              <w:jc w:val="center"/>
            </w:pPr>
            <w:r>
              <w:rPr>
                <w:sz w:val="16"/>
              </w:rPr>
              <w:t>9.574-28.025</w:t>
            </w:r>
          </w:p>
        </w:tc>
        <w:tc>
          <w:tcPr>
            <w:tcW w:w="3806" w:type="dxa"/>
            <w:vAlign w:val="center"/>
            <w:hideMark/>
          </w:tcPr>
          <w:p w14:paraId="65E50767" w14:textId="77777777" w:rsidR="00DB00B9" w:rsidRDefault="00DB00B9">
            <w:pPr>
              <w:pStyle w:val="bmdsTblBody"/>
              <w:jc w:val="center"/>
            </w:pPr>
            <w:r>
              <w:rPr>
                <w:sz w:val="16"/>
              </w:rPr>
              <w:t>2</w:t>
            </w:r>
          </w:p>
        </w:tc>
        <w:tc>
          <w:tcPr>
            <w:tcW w:w="3806" w:type="dxa"/>
            <w:vAlign w:val="center"/>
            <w:hideMark/>
          </w:tcPr>
          <w:p w14:paraId="1E59D682" w14:textId="77777777" w:rsidR="00DB00B9" w:rsidRDefault="00DB00B9">
            <w:pPr>
              <w:pStyle w:val="bmdsTblBody"/>
              <w:jc w:val="center"/>
            </w:pPr>
            <w:r>
              <w:rPr>
                <w:sz w:val="16"/>
              </w:rPr>
              <w:t>2</w:t>
            </w:r>
          </w:p>
        </w:tc>
      </w:tr>
      <w:tr w:rsidR="00DB00B9" w14:paraId="4F778468" w14:textId="77777777" w:rsidTr="00DB00B9">
        <w:tc>
          <w:tcPr>
            <w:tcW w:w="8640" w:type="dxa"/>
            <w:vAlign w:val="center"/>
            <w:hideMark/>
          </w:tcPr>
          <w:p w14:paraId="0F8F576B" w14:textId="77777777" w:rsidR="00DB00B9" w:rsidRDefault="00DB00B9">
            <w:pPr>
              <w:pStyle w:val="bmdsTblBody"/>
            </w:pPr>
            <w:r>
              <w:rPr>
                <w:b/>
              </w:rPr>
              <w:t>GO:0006694</w:t>
            </w:r>
          </w:p>
          <w:p w14:paraId="0919570D" w14:textId="77777777" w:rsidR="00DB00B9" w:rsidRDefault="00DB00B9">
            <w:pPr>
              <w:pStyle w:val="bmdsTblBody"/>
            </w:pPr>
            <w:r>
              <w:t>steroid biosynthetic process</w:t>
            </w:r>
          </w:p>
        </w:tc>
        <w:tc>
          <w:tcPr>
            <w:tcW w:w="3806" w:type="dxa"/>
            <w:vAlign w:val="center"/>
            <w:hideMark/>
          </w:tcPr>
          <w:p w14:paraId="2C2D4386" w14:textId="77777777" w:rsidR="00DB00B9" w:rsidRDefault="00DB00B9">
            <w:pPr>
              <w:pStyle w:val="bmdsTblBody"/>
              <w:jc w:val="center"/>
            </w:pPr>
            <w:r>
              <w:rPr>
                <w:sz w:val="16"/>
              </w:rPr>
              <w:t>4/49</w:t>
            </w:r>
          </w:p>
        </w:tc>
        <w:tc>
          <w:tcPr>
            <w:tcW w:w="3806" w:type="dxa"/>
            <w:vAlign w:val="center"/>
            <w:hideMark/>
          </w:tcPr>
          <w:p w14:paraId="5F842F30" w14:textId="77777777" w:rsidR="00DB00B9" w:rsidRDefault="00DB00B9">
            <w:pPr>
              <w:pStyle w:val="bmdsTblBody"/>
              <w:jc w:val="center"/>
            </w:pPr>
            <w:r>
              <w:rPr>
                <w:sz w:val="16"/>
              </w:rPr>
              <w:t>8%</w:t>
            </w:r>
          </w:p>
        </w:tc>
        <w:tc>
          <w:tcPr>
            <w:tcW w:w="3806" w:type="dxa"/>
            <w:vAlign w:val="center"/>
            <w:hideMark/>
          </w:tcPr>
          <w:p w14:paraId="6D133786" w14:textId="77777777" w:rsidR="00DB00B9" w:rsidRDefault="00DB00B9">
            <w:pPr>
              <w:pStyle w:val="bmdsTblBody"/>
              <w:jc w:val="center"/>
            </w:pPr>
            <w:proofErr w:type="spellStart"/>
            <w:r>
              <w:rPr>
                <w:sz w:val="16"/>
              </w:rPr>
              <w:t>dhcr7</w:t>
            </w:r>
            <w:proofErr w:type="spellEnd"/>
            <w:r>
              <w:rPr>
                <w:sz w:val="16"/>
              </w:rPr>
              <w:t xml:space="preserve">; </w:t>
            </w:r>
            <w:proofErr w:type="spellStart"/>
            <w:r>
              <w:rPr>
                <w:sz w:val="16"/>
              </w:rPr>
              <w:t>cyp26b1</w:t>
            </w:r>
            <w:proofErr w:type="spellEnd"/>
            <w:r>
              <w:rPr>
                <w:sz w:val="16"/>
              </w:rPr>
              <w:t xml:space="preserve">; </w:t>
            </w:r>
            <w:proofErr w:type="spellStart"/>
            <w:r>
              <w:rPr>
                <w:sz w:val="16"/>
              </w:rPr>
              <w:t>cyp1a1</w:t>
            </w:r>
            <w:proofErr w:type="spellEnd"/>
            <w:r>
              <w:rPr>
                <w:sz w:val="16"/>
              </w:rPr>
              <w:t xml:space="preserve">; </w:t>
            </w:r>
            <w:proofErr w:type="spellStart"/>
            <w:r>
              <w:rPr>
                <w:sz w:val="16"/>
              </w:rPr>
              <w:t>ces1d</w:t>
            </w:r>
            <w:proofErr w:type="spellEnd"/>
          </w:p>
        </w:tc>
        <w:tc>
          <w:tcPr>
            <w:tcW w:w="3806" w:type="dxa"/>
            <w:vAlign w:val="center"/>
            <w:hideMark/>
          </w:tcPr>
          <w:p w14:paraId="15460FE3" w14:textId="77777777" w:rsidR="00DB00B9" w:rsidRDefault="00DB00B9">
            <w:pPr>
              <w:pStyle w:val="bmdsTblBody"/>
              <w:jc w:val="center"/>
            </w:pPr>
            <w:r>
              <w:rPr>
                <w:sz w:val="16"/>
              </w:rPr>
              <w:t>15.537</w:t>
            </w:r>
          </w:p>
        </w:tc>
        <w:tc>
          <w:tcPr>
            <w:tcW w:w="3806" w:type="dxa"/>
            <w:vAlign w:val="center"/>
            <w:hideMark/>
          </w:tcPr>
          <w:p w14:paraId="3BDC22D9" w14:textId="77777777" w:rsidR="00DB00B9" w:rsidRDefault="00DB00B9">
            <w:pPr>
              <w:pStyle w:val="bmdsTblBody"/>
              <w:jc w:val="center"/>
            </w:pPr>
            <w:r>
              <w:rPr>
                <w:sz w:val="16"/>
              </w:rPr>
              <w:t>9.574-28.025</w:t>
            </w:r>
          </w:p>
        </w:tc>
        <w:tc>
          <w:tcPr>
            <w:tcW w:w="3806" w:type="dxa"/>
            <w:vAlign w:val="center"/>
            <w:hideMark/>
          </w:tcPr>
          <w:p w14:paraId="0731BF32" w14:textId="77777777" w:rsidR="00DB00B9" w:rsidRDefault="00DB00B9">
            <w:pPr>
              <w:pStyle w:val="bmdsTblBody"/>
              <w:jc w:val="center"/>
            </w:pPr>
            <w:r>
              <w:rPr>
                <w:sz w:val="16"/>
              </w:rPr>
              <w:t>2</w:t>
            </w:r>
          </w:p>
        </w:tc>
        <w:tc>
          <w:tcPr>
            <w:tcW w:w="3806" w:type="dxa"/>
            <w:vAlign w:val="center"/>
            <w:hideMark/>
          </w:tcPr>
          <w:p w14:paraId="1A8084E8" w14:textId="77777777" w:rsidR="00DB00B9" w:rsidRDefault="00DB00B9">
            <w:pPr>
              <w:pStyle w:val="bmdsTblBody"/>
              <w:jc w:val="center"/>
            </w:pPr>
            <w:r>
              <w:rPr>
                <w:sz w:val="16"/>
              </w:rPr>
              <w:t>2</w:t>
            </w:r>
          </w:p>
        </w:tc>
      </w:tr>
      <w:tr w:rsidR="00DB00B9" w14:paraId="5A150680" w14:textId="77777777" w:rsidTr="00DB00B9">
        <w:tc>
          <w:tcPr>
            <w:tcW w:w="8640" w:type="dxa"/>
            <w:vAlign w:val="center"/>
            <w:hideMark/>
          </w:tcPr>
          <w:p w14:paraId="371F789A" w14:textId="77777777" w:rsidR="00DB00B9" w:rsidRDefault="00DB00B9">
            <w:pPr>
              <w:pStyle w:val="bmdsTblBody"/>
            </w:pPr>
            <w:r>
              <w:rPr>
                <w:b/>
              </w:rPr>
              <w:t>GO:0031100</w:t>
            </w:r>
          </w:p>
          <w:p w14:paraId="4D627839" w14:textId="77777777" w:rsidR="00DB00B9" w:rsidRDefault="00DB00B9">
            <w:pPr>
              <w:pStyle w:val="bmdsTblBody"/>
            </w:pPr>
            <w:r>
              <w:t>animal organ regeneration</w:t>
            </w:r>
          </w:p>
        </w:tc>
        <w:tc>
          <w:tcPr>
            <w:tcW w:w="3806" w:type="dxa"/>
            <w:vAlign w:val="center"/>
            <w:hideMark/>
          </w:tcPr>
          <w:p w14:paraId="55AAF919" w14:textId="77777777" w:rsidR="00DB00B9" w:rsidRDefault="00DB00B9">
            <w:pPr>
              <w:pStyle w:val="bmdsTblBody"/>
              <w:jc w:val="center"/>
            </w:pPr>
            <w:r>
              <w:rPr>
                <w:sz w:val="16"/>
              </w:rPr>
              <w:t>4/80</w:t>
            </w:r>
          </w:p>
        </w:tc>
        <w:tc>
          <w:tcPr>
            <w:tcW w:w="3806" w:type="dxa"/>
            <w:vAlign w:val="center"/>
            <w:hideMark/>
          </w:tcPr>
          <w:p w14:paraId="1B231E7C" w14:textId="77777777" w:rsidR="00DB00B9" w:rsidRDefault="00DB00B9">
            <w:pPr>
              <w:pStyle w:val="bmdsTblBody"/>
              <w:jc w:val="center"/>
            </w:pPr>
            <w:r>
              <w:rPr>
                <w:sz w:val="16"/>
              </w:rPr>
              <w:t>5%</w:t>
            </w:r>
          </w:p>
        </w:tc>
        <w:tc>
          <w:tcPr>
            <w:tcW w:w="3806" w:type="dxa"/>
            <w:vAlign w:val="center"/>
            <w:hideMark/>
          </w:tcPr>
          <w:p w14:paraId="2D552BD4" w14:textId="77777777" w:rsidR="00DB00B9" w:rsidRDefault="00DB00B9">
            <w:pPr>
              <w:pStyle w:val="bmdsTblBody"/>
              <w:jc w:val="center"/>
            </w:pPr>
            <w:proofErr w:type="spellStart"/>
            <w:r>
              <w:rPr>
                <w:sz w:val="16"/>
              </w:rPr>
              <w:t>vwf</w:t>
            </w:r>
            <w:proofErr w:type="spellEnd"/>
            <w:r>
              <w:rPr>
                <w:sz w:val="16"/>
              </w:rPr>
              <w:t xml:space="preserve">; </w:t>
            </w:r>
            <w:proofErr w:type="spellStart"/>
            <w:r>
              <w:rPr>
                <w:sz w:val="16"/>
              </w:rPr>
              <w:t>mki67</w:t>
            </w:r>
            <w:proofErr w:type="spellEnd"/>
            <w:r>
              <w:rPr>
                <w:sz w:val="16"/>
              </w:rPr>
              <w:t xml:space="preserve">; </w:t>
            </w:r>
            <w:proofErr w:type="spellStart"/>
            <w:r>
              <w:rPr>
                <w:sz w:val="16"/>
              </w:rPr>
              <w:t>gstp1</w:t>
            </w:r>
            <w:proofErr w:type="spellEnd"/>
            <w:r>
              <w:rPr>
                <w:sz w:val="16"/>
              </w:rPr>
              <w:t xml:space="preserve">; </w:t>
            </w:r>
            <w:proofErr w:type="spellStart"/>
            <w:r>
              <w:rPr>
                <w:sz w:val="16"/>
              </w:rPr>
              <w:t>ccna2</w:t>
            </w:r>
            <w:proofErr w:type="spellEnd"/>
          </w:p>
        </w:tc>
        <w:tc>
          <w:tcPr>
            <w:tcW w:w="3806" w:type="dxa"/>
            <w:vAlign w:val="center"/>
            <w:hideMark/>
          </w:tcPr>
          <w:p w14:paraId="377F2102" w14:textId="77777777" w:rsidR="00DB00B9" w:rsidRDefault="00DB00B9">
            <w:pPr>
              <w:pStyle w:val="bmdsTblBody"/>
              <w:jc w:val="center"/>
            </w:pPr>
            <w:r>
              <w:rPr>
                <w:sz w:val="16"/>
              </w:rPr>
              <w:t>17.220</w:t>
            </w:r>
          </w:p>
        </w:tc>
        <w:tc>
          <w:tcPr>
            <w:tcW w:w="3806" w:type="dxa"/>
            <w:vAlign w:val="center"/>
            <w:hideMark/>
          </w:tcPr>
          <w:p w14:paraId="23221E06" w14:textId="77777777" w:rsidR="00DB00B9" w:rsidRDefault="00DB00B9">
            <w:pPr>
              <w:pStyle w:val="bmdsTblBody"/>
              <w:jc w:val="center"/>
            </w:pPr>
            <w:r>
              <w:rPr>
                <w:sz w:val="16"/>
              </w:rPr>
              <w:t>5.859-67.215</w:t>
            </w:r>
          </w:p>
        </w:tc>
        <w:tc>
          <w:tcPr>
            <w:tcW w:w="3806" w:type="dxa"/>
            <w:vAlign w:val="center"/>
            <w:hideMark/>
          </w:tcPr>
          <w:p w14:paraId="6EE68CEA" w14:textId="77777777" w:rsidR="00DB00B9" w:rsidRDefault="00DB00B9">
            <w:pPr>
              <w:pStyle w:val="bmdsTblBody"/>
              <w:jc w:val="center"/>
            </w:pPr>
            <w:r>
              <w:rPr>
                <w:sz w:val="16"/>
              </w:rPr>
              <w:t>1</w:t>
            </w:r>
          </w:p>
        </w:tc>
        <w:tc>
          <w:tcPr>
            <w:tcW w:w="3806" w:type="dxa"/>
            <w:vAlign w:val="center"/>
            <w:hideMark/>
          </w:tcPr>
          <w:p w14:paraId="1DB8EAD1" w14:textId="77777777" w:rsidR="00DB00B9" w:rsidRDefault="00DB00B9">
            <w:pPr>
              <w:pStyle w:val="bmdsTblBody"/>
              <w:jc w:val="center"/>
            </w:pPr>
            <w:r>
              <w:rPr>
                <w:sz w:val="16"/>
              </w:rPr>
              <w:t>3</w:t>
            </w:r>
          </w:p>
        </w:tc>
      </w:tr>
      <w:tr w:rsidR="00DB00B9" w14:paraId="3E806A08" w14:textId="77777777" w:rsidTr="00DB00B9">
        <w:tc>
          <w:tcPr>
            <w:tcW w:w="8640" w:type="dxa"/>
            <w:vAlign w:val="center"/>
            <w:hideMark/>
          </w:tcPr>
          <w:p w14:paraId="73A74DA4" w14:textId="77777777" w:rsidR="00DB00B9" w:rsidRDefault="00DB00B9">
            <w:pPr>
              <w:pStyle w:val="bmdsTblBody"/>
            </w:pPr>
            <w:r>
              <w:rPr>
                <w:b/>
              </w:rPr>
              <w:t>GO:0008610</w:t>
            </w:r>
          </w:p>
          <w:p w14:paraId="745A710E" w14:textId="77777777" w:rsidR="00DB00B9" w:rsidRDefault="00DB00B9">
            <w:pPr>
              <w:pStyle w:val="bmdsTblBody"/>
            </w:pPr>
            <w:r>
              <w:t>lipid biosynthetic process</w:t>
            </w:r>
          </w:p>
        </w:tc>
        <w:tc>
          <w:tcPr>
            <w:tcW w:w="3806" w:type="dxa"/>
            <w:vAlign w:val="center"/>
            <w:hideMark/>
          </w:tcPr>
          <w:p w14:paraId="4CB01641" w14:textId="77777777" w:rsidR="00DB00B9" w:rsidRDefault="00DB00B9">
            <w:pPr>
              <w:pStyle w:val="bmdsTblBody"/>
              <w:jc w:val="center"/>
            </w:pPr>
            <w:r>
              <w:rPr>
                <w:sz w:val="16"/>
              </w:rPr>
              <w:t>7/122</w:t>
            </w:r>
          </w:p>
        </w:tc>
        <w:tc>
          <w:tcPr>
            <w:tcW w:w="3806" w:type="dxa"/>
            <w:vAlign w:val="center"/>
            <w:hideMark/>
          </w:tcPr>
          <w:p w14:paraId="1A52924F" w14:textId="77777777" w:rsidR="00DB00B9" w:rsidRDefault="00DB00B9">
            <w:pPr>
              <w:pStyle w:val="bmdsTblBody"/>
              <w:jc w:val="center"/>
            </w:pPr>
            <w:r>
              <w:rPr>
                <w:sz w:val="16"/>
              </w:rPr>
              <w:t>6%</w:t>
            </w:r>
          </w:p>
        </w:tc>
        <w:tc>
          <w:tcPr>
            <w:tcW w:w="3806" w:type="dxa"/>
            <w:vAlign w:val="center"/>
            <w:hideMark/>
          </w:tcPr>
          <w:p w14:paraId="6CC39A3E" w14:textId="77777777" w:rsidR="00DB00B9" w:rsidRDefault="00DB00B9">
            <w:pPr>
              <w:pStyle w:val="bmdsTblBody"/>
              <w:jc w:val="center"/>
            </w:pPr>
            <w:proofErr w:type="spellStart"/>
            <w:r>
              <w:rPr>
                <w:sz w:val="16"/>
              </w:rPr>
              <w:t>ppard</w:t>
            </w:r>
            <w:proofErr w:type="spellEnd"/>
            <w:r>
              <w:rPr>
                <w:sz w:val="16"/>
              </w:rPr>
              <w:t xml:space="preserve">; </w:t>
            </w:r>
            <w:proofErr w:type="spellStart"/>
            <w:r>
              <w:rPr>
                <w:sz w:val="16"/>
              </w:rPr>
              <w:t>gstp1</w:t>
            </w:r>
            <w:proofErr w:type="spellEnd"/>
            <w:r>
              <w:rPr>
                <w:sz w:val="16"/>
              </w:rPr>
              <w:t xml:space="preserve">; </w:t>
            </w:r>
            <w:proofErr w:type="spellStart"/>
            <w:r>
              <w:rPr>
                <w:sz w:val="16"/>
              </w:rPr>
              <w:t>dhcr7</w:t>
            </w:r>
            <w:proofErr w:type="spellEnd"/>
            <w:r>
              <w:rPr>
                <w:sz w:val="16"/>
              </w:rPr>
              <w:t xml:space="preserve">; </w:t>
            </w:r>
            <w:proofErr w:type="spellStart"/>
            <w:r>
              <w:rPr>
                <w:sz w:val="16"/>
              </w:rPr>
              <w:t>cyp26b1</w:t>
            </w:r>
            <w:proofErr w:type="spellEnd"/>
            <w:r>
              <w:rPr>
                <w:sz w:val="16"/>
              </w:rPr>
              <w:t xml:space="preserve">; </w:t>
            </w:r>
            <w:proofErr w:type="spellStart"/>
            <w:r>
              <w:rPr>
                <w:sz w:val="16"/>
              </w:rPr>
              <w:t>cyp1a1</w:t>
            </w:r>
            <w:proofErr w:type="spellEnd"/>
            <w:r>
              <w:rPr>
                <w:sz w:val="16"/>
              </w:rPr>
              <w:t xml:space="preserve">; </w:t>
            </w:r>
            <w:proofErr w:type="spellStart"/>
            <w:r>
              <w:rPr>
                <w:sz w:val="16"/>
              </w:rPr>
              <w:t>ces1d</w:t>
            </w:r>
            <w:proofErr w:type="spellEnd"/>
            <w:r>
              <w:rPr>
                <w:sz w:val="16"/>
              </w:rPr>
              <w:t xml:space="preserve">; </w:t>
            </w:r>
            <w:proofErr w:type="spellStart"/>
            <w:r>
              <w:rPr>
                <w:sz w:val="16"/>
              </w:rPr>
              <w:t>alox15</w:t>
            </w:r>
            <w:proofErr w:type="spellEnd"/>
          </w:p>
        </w:tc>
        <w:tc>
          <w:tcPr>
            <w:tcW w:w="3806" w:type="dxa"/>
            <w:vAlign w:val="center"/>
            <w:hideMark/>
          </w:tcPr>
          <w:p w14:paraId="2701298C" w14:textId="77777777" w:rsidR="00DB00B9" w:rsidRDefault="00DB00B9">
            <w:pPr>
              <w:pStyle w:val="bmdsTblBody"/>
              <w:jc w:val="center"/>
            </w:pPr>
            <w:r>
              <w:rPr>
                <w:sz w:val="16"/>
              </w:rPr>
              <w:t>18.187</w:t>
            </w:r>
          </w:p>
        </w:tc>
        <w:tc>
          <w:tcPr>
            <w:tcW w:w="3806" w:type="dxa"/>
            <w:vAlign w:val="center"/>
            <w:hideMark/>
          </w:tcPr>
          <w:p w14:paraId="72A39E6C" w14:textId="77777777" w:rsidR="00DB00B9" w:rsidRDefault="00DB00B9">
            <w:pPr>
              <w:pStyle w:val="bmdsTblBody"/>
              <w:jc w:val="center"/>
            </w:pPr>
            <w:r>
              <w:rPr>
                <w:sz w:val="16"/>
              </w:rPr>
              <w:t>10.018-36.727</w:t>
            </w:r>
          </w:p>
        </w:tc>
        <w:tc>
          <w:tcPr>
            <w:tcW w:w="3806" w:type="dxa"/>
            <w:vAlign w:val="center"/>
            <w:hideMark/>
          </w:tcPr>
          <w:p w14:paraId="0A0188C7" w14:textId="77777777" w:rsidR="00DB00B9" w:rsidRDefault="00DB00B9">
            <w:pPr>
              <w:pStyle w:val="bmdsTblBody"/>
              <w:jc w:val="center"/>
            </w:pPr>
            <w:r>
              <w:rPr>
                <w:sz w:val="16"/>
              </w:rPr>
              <w:t>3</w:t>
            </w:r>
          </w:p>
        </w:tc>
        <w:tc>
          <w:tcPr>
            <w:tcW w:w="3806" w:type="dxa"/>
            <w:vAlign w:val="center"/>
            <w:hideMark/>
          </w:tcPr>
          <w:p w14:paraId="77E8F15D" w14:textId="77777777" w:rsidR="00DB00B9" w:rsidRDefault="00DB00B9">
            <w:pPr>
              <w:pStyle w:val="bmdsTblBody"/>
              <w:jc w:val="center"/>
            </w:pPr>
            <w:r>
              <w:rPr>
                <w:sz w:val="16"/>
              </w:rPr>
              <w:t>4</w:t>
            </w:r>
          </w:p>
        </w:tc>
      </w:tr>
      <w:tr w:rsidR="00DB00B9" w14:paraId="54A65B10" w14:textId="77777777" w:rsidTr="00DB00B9">
        <w:tc>
          <w:tcPr>
            <w:tcW w:w="8640" w:type="dxa"/>
            <w:vAlign w:val="center"/>
            <w:hideMark/>
          </w:tcPr>
          <w:p w14:paraId="5F708873" w14:textId="77777777" w:rsidR="00DB00B9" w:rsidRDefault="00DB00B9">
            <w:pPr>
              <w:pStyle w:val="bmdsTblBody"/>
            </w:pPr>
            <w:r>
              <w:rPr>
                <w:b/>
              </w:rPr>
              <w:t>GO:0016101</w:t>
            </w:r>
          </w:p>
          <w:p w14:paraId="7B2F91EB" w14:textId="77777777" w:rsidR="00DB00B9" w:rsidRDefault="00DB00B9">
            <w:pPr>
              <w:pStyle w:val="bmdsTblBody"/>
            </w:pPr>
            <w:r>
              <w:t>diterpenoid metabolic process</w:t>
            </w:r>
          </w:p>
        </w:tc>
        <w:tc>
          <w:tcPr>
            <w:tcW w:w="3806" w:type="dxa"/>
            <w:vAlign w:val="center"/>
            <w:hideMark/>
          </w:tcPr>
          <w:p w14:paraId="6AFDE505" w14:textId="77777777" w:rsidR="00DB00B9" w:rsidRDefault="00DB00B9">
            <w:pPr>
              <w:pStyle w:val="bmdsTblBody"/>
              <w:jc w:val="center"/>
            </w:pPr>
            <w:r>
              <w:rPr>
                <w:sz w:val="16"/>
              </w:rPr>
              <w:t>5/26</w:t>
            </w:r>
          </w:p>
        </w:tc>
        <w:tc>
          <w:tcPr>
            <w:tcW w:w="3806" w:type="dxa"/>
            <w:vAlign w:val="center"/>
            <w:hideMark/>
          </w:tcPr>
          <w:p w14:paraId="2947EC60" w14:textId="77777777" w:rsidR="00DB00B9" w:rsidRDefault="00DB00B9">
            <w:pPr>
              <w:pStyle w:val="bmdsTblBody"/>
              <w:jc w:val="center"/>
            </w:pPr>
            <w:r>
              <w:rPr>
                <w:sz w:val="16"/>
              </w:rPr>
              <w:t>19%</w:t>
            </w:r>
          </w:p>
        </w:tc>
        <w:tc>
          <w:tcPr>
            <w:tcW w:w="3806" w:type="dxa"/>
            <w:vAlign w:val="center"/>
            <w:hideMark/>
          </w:tcPr>
          <w:p w14:paraId="4743E695" w14:textId="77777777" w:rsidR="00DB00B9" w:rsidRDefault="00DB00B9">
            <w:pPr>
              <w:pStyle w:val="bmdsTblBody"/>
              <w:jc w:val="center"/>
            </w:pPr>
            <w:proofErr w:type="spellStart"/>
            <w:r>
              <w:rPr>
                <w:sz w:val="16"/>
              </w:rPr>
              <w:t>ppard</w:t>
            </w:r>
            <w:proofErr w:type="spellEnd"/>
            <w:r>
              <w:rPr>
                <w:sz w:val="16"/>
              </w:rPr>
              <w:t xml:space="preserve">; </w:t>
            </w:r>
            <w:proofErr w:type="spellStart"/>
            <w:r>
              <w:rPr>
                <w:sz w:val="16"/>
              </w:rPr>
              <w:t>pgr</w:t>
            </w:r>
            <w:proofErr w:type="spellEnd"/>
            <w:r>
              <w:rPr>
                <w:sz w:val="16"/>
              </w:rPr>
              <w:t xml:space="preserve">; </w:t>
            </w:r>
            <w:proofErr w:type="spellStart"/>
            <w:r>
              <w:rPr>
                <w:sz w:val="16"/>
              </w:rPr>
              <w:t>cyp26b1</w:t>
            </w:r>
            <w:proofErr w:type="spellEnd"/>
            <w:r>
              <w:rPr>
                <w:sz w:val="16"/>
              </w:rPr>
              <w:t xml:space="preserve">; </w:t>
            </w:r>
            <w:proofErr w:type="spellStart"/>
            <w:r>
              <w:rPr>
                <w:sz w:val="16"/>
              </w:rPr>
              <w:t>cyp1a1</w:t>
            </w:r>
            <w:proofErr w:type="spellEnd"/>
            <w:r>
              <w:rPr>
                <w:sz w:val="16"/>
              </w:rPr>
              <w:t xml:space="preserve">; </w:t>
            </w:r>
            <w:proofErr w:type="spellStart"/>
            <w:r>
              <w:rPr>
                <w:sz w:val="16"/>
              </w:rPr>
              <w:t>ces1d</w:t>
            </w:r>
            <w:proofErr w:type="spellEnd"/>
          </w:p>
        </w:tc>
        <w:tc>
          <w:tcPr>
            <w:tcW w:w="3806" w:type="dxa"/>
            <w:vAlign w:val="center"/>
            <w:hideMark/>
          </w:tcPr>
          <w:p w14:paraId="12F1B574" w14:textId="77777777" w:rsidR="00DB00B9" w:rsidRDefault="00DB00B9">
            <w:pPr>
              <w:pStyle w:val="bmdsTblBody"/>
              <w:jc w:val="center"/>
            </w:pPr>
            <w:r>
              <w:rPr>
                <w:sz w:val="16"/>
              </w:rPr>
              <w:t>18.187</w:t>
            </w:r>
          </w:p>
        </w:tc>
        <w:tc>
          <w:tcPr>
            <w:tcW w:w="3806" w:type="dxa"/>
            <w:vAlign w:val="center"/>
            <w:hideMark/>
          </w:tcPr>
          <w:p w14:paraId="5DCAD604" w14:textId="77777777" w:rsidR="00DB00B9" w:rsidRDefault="00DB00B9">
            <w:pPr>
              <w:pStyle w:val="bmdsTblBody"/>
              <w:jc w:val="center"/>
            </w:pPr>
            <w:r>
              <w:rPr>
                <w:sz w:val="16"/>
              </w:rPr>
              <w:t>10.018-36.727</w:t>
            </w:r>
          </w:p>
        </w:tc>
        <w:tc>
          <w:tcPr>
            <w:tcW w:w="3806" w:type="dxa"/>
            <w:vAlign w:val="center"/>
            <w:hideMark/>
          </w:tcPr>
          <w:p w14:paraId="49813E1B" w14:textId="77777777" w:rsidR="00DB00B9" w:rsidRDefault="00DB00B9">
            <w:pPr>
              <w:pStyle w:val="bmdsTblBody"/>
              <w:jc w:val="center"/>
            </w:pPr>
            <w:r>
              <w:rPr>
                <w:sz w:val="16"/>
              </w:rPr>
              <w:t>2</w:t>
            </w:r>
          </w:p>
        </w:tc>
        <w:tc>
          <w:tcPr>
            <w:tcW w:w="3806" w:type="dxa"/>
            <w:vAlign w:val="center"/>
            <w:hideMark/>
          </w:tcPr>
          <w:p w14:paraId="7E3865CD" w14:textId="77777777" w:rsidR="00DB00B9" w:rsidRDefault="00DB00B9">
            <w:pPr>
              <w:pStyle w:val="bmdsTblBody"/>
              <w:jc w:val="center"/>
            </w:pPr>
            <w:r>
              <w:rPr>
                <w:sz w:val="16"/>
              </w:rPr>
              <w:t>3</w:t>
            </w:r>
          </w:p>
        </w:tc>
      </w:tr>
      <w:tr w:rsidR="00DB00B9" w14:paraId="18CF0D99" w14:textId="77777777" w:rsidTr="00DB00B9">
        <w:tc>
          <w:tcPr>
            <w:tcW w:w="8640" w:type="dxa"/>
            <w:vAlign w:val="center"/>
            <w:hideMark/>
          </w:tcPr>
          <w:p w14:paraId="0D005CBE" w14:textId="77777777" w:rsidR="00DB00B9" w:rsidRDefault="00DB00B9">
            <w:pPr>
              <w:pStyle w:val="bmdsTblBody"/>
            </w:pPr>
            <w:r>
              <w:rPr>
                <w:b/>
              </w:rPr>
              <w:t>GO:0034754</w:t>
            </w:r>
          </w:p>
          <w:p w14:paraId="61F29606" w14:textId="77777777" w:rsidR="00DB00B9" w:rsidRDefault="00DB00B9">
            <w:pPr>
              <w:pStyle w:val="bmdsTblBody"/>
            </w:pPr>
            <w:r>
              <w:t>cellular hormone metabolic process</w:t>
            </w:r>
          </w:p>
        </w:tc>
        <w:tc>
          <w:tcPr>
            <w:tcW w:w="3806" w:type="dxa"/>
            <w:vAlign w:val="center"/>
            <w:hideMark/>
          </w:tcPr>
          <w:p w14:paraId="32725C71" w14:textId="77777777" w:rsidR="00DB00B9" w:rsidRDefault="00DB00B9">
            <w:pPr>
              <w:pStyle w:val="bmdsTblBody"/>
              <w:jc w:val="center"/>
            </w:pPr>
            <w:r>
              <w:rPr>
                <w:sz w:val="16"/>
              </w:rPr>
              <w:t>3/41</w:t>
            </w:r>
          </w:p>
        </w:tc>
        <w:tc>
          <w:tcPr>
            <w:tcW w:w="3806" w:type="dxa"/>
            <w:vAlign w:val="center"/>
            <w:hideMark/>
          </w:tcPr>
          <w:p w14:paraId="685122FB" w14:textId="77777777" w:rsidR="00DB00B9" w:rsidRDefault="00DB00B9">
            <w:pPr>
              <w:pStyle w:val="bmdsTblBody"/>
              <w:jc w:val="center"/>
            </w:pPr>
            <w:r>
              <w:rPr>
                <w:sz w:val="16"/>
              </w:rPr>
              <w:t>7%</w:t>
            </w:r>
          </w:p>
        </w:tc>
        <w:tc>
          <w:tcPr>
            <w:tcW w:w="3806" w:type="dxa"/>
            <w:vAlign w:val="center"/>
            <w:hideMark/>
          </w:tcPr>
          <w:p w14:paraId="0BB7DF6A" w14:textId="77777777" w:rsidR="00DB00B9" w:rsidRDefault="00DB00B9">
            <w:pPr>
              <w:pStyle w:val="bmdsTblBody"/>
              <w:jc w:val="center"/>
            </w:pPr>
            <w:proofErr w:type="spellStart"/>
            <w:r>
              <w:rPr>
                <w:sz w:val="16"/>
              </w:rPr>
              <w:t>ugt2b7</w:t>
            </w:r>
            <w:proofErr w:type="spellEnd"/>
            <w:r>
              <w:rPr>
                <w:sz w:val="16"/>
              </w:rPr>
              <w:t xml:space="preserve">; </w:t>
            </w:r>
            <w:proofErr w:type="spellStart"/>
            <w:r>
              <w:rPr>
                <w:sz w:val="16"/>
              </w:rPr>
              <w:t>cyp26b1</w:t>
            </w:r>
            <w:proofErr w:type="spellEnd"/>
            <w:r>
              <w:rPr>
                <w:sz w:val="16"/>
              </w:rPr>
              <w:t xml:space="preserve">; </w:t>
            </w:r>
            <w:proofErr w:type="spellStart"/>
            <w:r>
              <w:rPr>
                <w:sz w:val="16"/>
              </w:rPr>
              <w:t>cyp1a1</w:t>
            </w:r>
            <w:proofErr w:type="spellEnd"/>
          </w:p>
        </w:tc>
        <w:tc>
          <w:tcPr>
            <w:tcW w:w="3806" w:type="dxa"/>
            <w:vAlign w:val="center"/>
            <w:hideMark/>
          </w:tcPr>
          <w:p w14:paraId="28028C06" w14:textId="77777777" w:rsidR="00DB00B9" w:rsidRDefault="00DB00B9">
            <w:pPr>
              <w:pStyle w:val="bmdsTblBody"/>
              <w:jc w:val="center"/>
            </w:pPr>
            <w:r>
              <w:rPr>
                <w:sz w:val="16"/>
              </w:rPr>
              <w:t>18.187</w:t>
            </w:r>
          </w:p>
        </w:tc>
        <w:tc>
          <w:tcPr>
            <w:tcW w:w="3806" w:type="dxa"/>
            <w:vAlign w:val="center"/>
            <w:hideMark/>
          </w:tcPr>
          <w:p w14:paraId="04C28399" w14:textId="77777777" w:rsidR="00DB00B9" w:rsidRDefault="00DB00B9">
            <w:pPr>
              <w:pStyle w:val="bmdsTblBody"/>
              <w:jc w:val="center"/>
            </w:pPr>
            <w:r>
              <w:rPr>
                <w:sz w:val="16"/>
              </w:rPr>
              <w:t>10.018-36.727</w:t>
            </w:r>
          </w:p>
        </w:tc>
        <w:tc>
          <w:tcPr>
            <w:tcW w:w="3806" w:type="dxa"/>
            <w:vAlign w:val="center"/>
            <w:hideMark/>
          </w:tcPr>
          <w:p w14:paraId="353F27A6" w14:textId="77777777" w:rsidR="00DB00B9" w:rsidRDefault="00DB00B9">
            <w:pPr>
              <w:pStyle w:val="bmdsTblBody"/>
              <w:jc w:val="center"/>
            </w:pPr>
            <w:r>
              <w:rPr>
                <w:sz w:val="16"/>
              </w:rPr>
              <w:t>3</w:t>
            </w:r>
          </w:p>
        </w:tc>
        <w:tc>
          <w:tcPr>
            <w:tcW w:w="3806" w:type="dxa"/>
            <w:vAlign w:val="center"/>
            <w:hideMark/>
          </w:tcPr>
          <w:p w14:paraId="52E0E571" w14:textId="77777777" w:rsidR="00DB00B9" w:rsidRDefault="00DB00B9">
            <w:pPr>
              <w:pStyle w:val="bmdsTblBody"/>
              <w:jc w:val="center"/>
            </w:pPr>
            <w:r>
              <w:rPr>
                <w:sz w:val="16"/>
              </w:rPr>
              <w:t>0</w:t>
            </w:r>
          </w:p>
        </w:tc>
      </w:tr>
      <w:tr w:rsidR="00DB00B9" w14:paraId="21DBA5F8" w14:textId="77777777" w:rsidTr="00DB00B9">
        <w:tc>
          <w:tcPr>
            <w:tcW w:w="8640" w:type="dxa"/>
            <w:vAlign w:val="center"/>
            <w:hideMark/>
          </w:tcPr>
          <w:p w14:paraId="5A496F7C" w14:textId="77777777" w:rsidR="00DB00B9" w:rsidRDefault="00DB00B9">
            <w:pPr>
              <w:pStyle w:val="bmdsTblBody"/>
            </w:pPr>
            <w:r>
              <w:rPr>
                <w:b/>
              </w:rPr>
              <w:t>GO:1902653</w:t>
            </w:r>
          </w:p>
          <w:p w14:paraId="4E46DE22" w14:textId="77777777" w:rsidR="00DB00B9" w:rsidRDefault="00DB00B9">
            <w:pPr>
              <w:pStyle w:val="bmdsTblBody"/>
            </w:pPr>
            <w:r>
              <w:t>secondary alcohol biosynthetic process</w:t>
            </w:r>
          </w:p>
        </w:tc>
        <w:tc>
          <w:tcPr>
            <w:tcW w:w="3806" w:type="dxa"/>
            <w:vAlign w:val="center"/>
            <w:hideMark/>
          </w:tcPr>
          <w:p w14:paraId="0FC4A262" w14:textId="77777777" w:rsidR="00DB00B9" w:rsidRDefault="00DB00B9">
            <w:pPr>
              <w:pStyle w:val="bmdsTblBody"/>
              <w:jc w:val="center"/>
            </w:pPr>
            <w:r>
              <w:rPr>
                <w:sz w:val="16"/>
              </w:rPr>
              <w:t>3/22</w:t>
            </w:r>
          </w:p>
        </w:tc>
        <w:tc>
          <w:tcPr>
            <w:tcW w:w="3806" w:type="dxa"/>
            <w:vAlign w:val="center"/>
            <w:hideMark/>
          </w:tcPr>
          <w:p w14:paraId="05964FE3" w14:textId="77777777" w:rsidR="00DB00B9" w:rsidRDefault="00DB00B9">
            <w:pPr>
              <w:pStyle w:val="bmdsTblBody"/>
              <w:jc w:val="center"/>
            </w:pPr>
            <w:r>
              <w:rPr>
                <w:sz w:val="16"/>
              </w:rPr>
              <w:t>14%</w:t>
            </w:r>
          </w:p>
        </w:tc>
        <w:tc>
          <w:tcPr>
            <w:tcW w:w="3806" w:type="dxa"/>
            <w:vAlign w:val="center"/>
            <w:hideMark/>
          </w:tcPr>
          <w:p w14:paraId="72837979" w14:textId="77777777" w:rsidR="00DB00B9" w:rsidRDefault="00DB00B9">
            <w:pPr>
              <w:pStyle w:val="bmdsTblBody"/>
              <w:jc w:val="center"/>
            </w:pPr>
            <w:proofErr w:type="spellStart"/>
            <w:r>
              <w:rPr>
                <w:sz w:val="16"/>
              </w:rPr>
              <w:t>dhcr7</w:t>
            </w:r>
            <w:proofErr w:type="spellEnd"/>
            <w:r>
              <w:rPr>
                <w:sz w:val="16"/>
              </w:rPr>
              <w:t xml:space="preserve">; </w:t>
            </w:r>
            <w:proofErr w:type="spellStart"/>
            <w:r>
              <w:rPr>
                <w:sz w:val="16"/>
              </w:rPr>
              <w:t>cyp26b1</w:t>
            </w:r>
            <w:proofErr w:type="spellEnd"/>
            <w:r>
              <w:rPr>
                <w:sz w:val="16"/>
              </w:rPr>
              <w:t xml:space="preserve">; </w:t>
            </w:r>
            <w:proofErr w:type="spellStart"/>
            <w:r>
              <w:rPr>
                <w:sz w:val="16"/>
              </w:rPr>
              <w:t>ces1d</w:t>
            </w:r>
            <w:proofErr w:type="spellEnd"/>
          </w:p>
        </w:tc>
        <w:tc>
          <w:tcPr>
            <w:tcW w:w="3806" w:type="dxa"/>
            <w:vAlign w:val="center"/>
            <w:hideMark/>
          </w:tcPr>
          <w:p w14:paraId="38D81822" w14:textId="77777777" w:rsidR="00DB00B9" w:rsidRDefault="00DB00B9">
            <w:pPr>
              <w:pStyle w:val="bmdsTblBody"/>
              <w:jc w:val="center"/>
            </w:pPr>
            <w:r>
              <w:rPr>
                <w:sz w:val="16"/>
              </w:rPr>
              <w:t>18.187</w:t>
            </w:r>
          </w:p>
        </w:tc>
        <w:tc>
          <w:tcPr>
            <w:tcW w:w="3806" w:type="dxa"/>
            <w:vAlign w:val="center"/>
            <w:hideMark/>
          </w:tcPr>
          <w:p w14:paraId="5522AFE2" w14:textId="77777777" w:rsidR="00DB00B9" w:rsidRDefault="00DB00B9">
            <w:pPr>
              <w:pStyle w:val="bmdsTblBody"/>
              <w:jc w:val="center"/>
            </w:pPr>
            <w:r>
              <w:rPr>
                <w:sz w:val="16"/>
              </w:rPr>
              <w:t>10.018-36.727</w:t>
            </w:r>
          </w:p>
        </w:tc>
        <w:tc>
          <w:tcPr>
            <w:tcW w:w="3806" w:type="dxa"/>
            <w:vAlign w:val="center"/>
            <w:hideMark/>
          </w:tcPr>
          <w:p w14:paraId="2EC261A5" w14:textId="77777777" w:rsidR="00DB00B9" w:rsidRDefault="00DB00B9">
            <w:pPr>
              <w:pStyle w:val="bmdsTblBody"/>
              <w:jc w:val="center"/>
            </w:pPr>
            <w:r>
              <w:rPr>
                <w:sz w:val="16"/>
              </w:rPr>
              <w:t>1</w:t>
            </w:r>
          </w:p>
        </w:tc>
        <w:tc>
          <w:tcPr>
            <w:tcW w:w="3806" w:type="dxa"/>
            <w:vAlign w:val="center"/>
            <w:hideMark/>
          </w:tcPr>
          <w:p w14:paraId="7228CA09" w14:textId="77777777" w:rsidR="00DB00B9" w:rsidRDefault="00DB00B9">
            <w:pPr>
              <w:pStyle w:val="bmdsTblBody"/>
              <w:jc w:val="center"/>
            </w:pPr>
            <w:r>
              <w:rPr>
                <w:sz w:val="16"/>
              </w:rPr>
              <w:t>2</w:t>
            </w:r>
          </w:p>
        </w:tc>
      </w:tr>
      <w:tr w:rsidR="00DB00B9" w14:paraId="48E0B11F" w14:textId="77777777" w:rsidTr="00DB00B9">
        <w:tc>
          <w:tcPr>
            <w:tcW w:w="8640" w:type="dxa"/>
            <w:tcBorders>
              <w:top w:val="nil"/>
              <w:left w:val="nil"/>
              <w:bottom w:val="single" w:sz="2" w:space="0" w:color="000000"/>
              <w:right w:val="nil"/>
            </w:tcBorders>
            <w:vAlign w:val="center"/>
            <w:hideMark/>
          </w:tcPr>
          <w:p w14:paraId="027AE7C0" w14:textId="77777777" w:rsidR="00DB00B9" w:rsidRDefault="00DB00B9">
            <w:pPr>
              <w:pStyle w:val="bmdsTblBody"/>
            </w:pPr>
            <w:r>
              <w:rPr>
                <w:b/>
              </w:rPr>
              <w:t>GO:0071241</w:t>
            </w:r>
          </w:p>
          <w:p w14:paraId="40195D42" w14:textId="77777777" w:rsidR="00DB00B9" w:rsidRDefault="00DB00B9">
            <w:pPr>
              <w:pStyle w:val="bmdsTblBody"/>
            </w:pPr>
            <w:r>
              <w:t>cellular response to inorganic substance</w:t>
            </w:r>
          </w:p>
        </w:tc>
        <w:tc>
          <w:tcPr>
            <w:tcW w:w="3806" w:type="dxa"/>
            <w:tcBorders>
              <w:top w:val="nil"/>
              <w:left w:val="nil"/>
              <w:bottom w:val="single" w:sz="2" w:space="0" w:color="000000"/>
              <w:right w:val="nil"/>
            </w:tcBorders>
            <w:vAlign w:val="center"/>
            <w:hideMark/>
          </w:tcPr>
          <w:p w14:paraId="281B82C6" w14:textId="77777777" w:rsidR="00DB00B9" w:rsidRDefault="00DB00B9">
            <w:pPr>
              <w:pStyle w:val="bmdsTblBody"/>
              <w:jc w:val="center"/>
            </w:pPr>
            <w:r>
              <w:rPr>
                <w:sz w:val="16"/>
              </w:rPr>
              <w:t>6/113</w:t>
            </w:r>
          </w:p>
        </w:tc>
        <w:tc>
          <w:tcPr>
            <w:tcW w:w="3806" w:type="dxa"/>
            <w:tcBorders>
              <w:top w:val="nil"/>
              <w:left w:val="nil"/>
              <w:bottom w:val="single" w:sz="2" w:space="0" w:color="000000"/>
              <w:right w:val="nil"/>
            </w:tcBorders>
            <w:vAlign w:val="center"/>
            <w:hideMark/>
          </w:tcPr>
          <w:p w14:paraId="4274AF96" w14:textId="77777777" w:rsidR="00DB00B9" w:rsidRDefault="00DB00B9">
            <w:pPr>
              <w:pStyle w:val="bmdsTblBody"/>
              <w:jc w:val="center"/>
            </w:pPr>
            <w:r>
              <w:rPr>
                <w:sz w:val="16"/>
              </w:rPr>
              <w:t>5%</w:t>
            </w:r>
          </w:p>
        </w:tc>
        <w:tc>
          <w:tcPr>
            <w:tcW w:w="3806" w:type="dxa"/>
            <w:tcBorders>
              <w:top w:val="nil"/>
              <w:left w:val="nil"/>
              <w:bottom w:val="single" w:sz="2" w:space="0" w:color="000000"/>
              <w:right w:val="nil"/>
            </w:tcBorders>
            <w:vAlign w:val="center"/>
            <w:hideMark/>
          </w:tcPr>
          <w:p w14:paraId="1180D62D" w14:textId="77777777" w:rsidR="00DB00B9" w:rsidRDefault="00DB00B9">
            <w:pPr>
              <w:pStyle w:val="bmdsTblBody"/>
              <w:jc w:val="center"/>
            </w:pPr>
            <w:proofErr w:type="spellStart"/>
            <w:r>
              <w:rPr>
                <w:sz w:val="16"/>
              </w:rPr>
              <w:t>nqo1</w:t>
            </w:r>
            <w:proofErr w:type="spellEnd"/>
            <w:r>
              <w:rPr>
                <w:sz w:val="16"/>
              </w:rPr>
              <w:t xml:space="preserve">; </w:t>
            </w:r>
            <w:proofErr w:type="spellStart"/>
            <w:r>
              <w:rPr>
                <w:sz w:val="16"/>
              </w:rPr>
              <w:t>mmp9</w:t>
            </w:r>
            <w:proofErr w:type="spellEnd"/>
            <w:r>
              <w:rPr>
                <w:sz w:val="16"/>
              </w:rPr>
              <w:t xml:space="preserve">; </w:t>
            </w:r>
            <w:proofErr w:type="spellStart"/>
            <w:r>
              <w:rPr>
                <w:sz w:val="16"/>
              </w:rPr>
              <w:t>ect2</w:t>
            </w:r>
            <w:proofErr w:type="spellEnd"/>
            <w:r>
              <w:rPr>
                <w:sz w:val="16"/>
              </w:rPr>
              <w:t xml:space="preserve">; </w:t>
            </w:r>
            <w:proofErr w:type="spellStart"/>
            <w:r>
              <w:rPr>
                <w:sz w:val="16"/>
              </w:rPr>
              <w:t>cyp1a1</w:t>
            </w:r>
            <w:proofErr w:type="spellEnd"/>
            <w:r>
              <w:rPr>
                <w:sz w:val="16"/>
              </w:rPr>
              <w:t xml:space="preserve">; </w:t>
            </w:r>
            <w:proofErr w:type="spellStart"/>
            <w:r>
              <w:rPr>
                <w:sz w:val="16"/>
              </w:rPr>
              <w:t>ccna2</w:t>
            </w:r>
            <w:proofErr w:type="spellEnd"/>
            <w:r>
              <w:rPr>
                <w:sz w:val="16"/>
              </w:rPr>
              <w:t xml:space="preserve">; </w:t>
            </w:r>
            <w:proofErr w:type="spellStart"/>
            <w:r>
              <w:rPr>
                <w:sz w:val="16"/>
              </w:rPr>
              <w:t>alox15</w:t>
            </w:r>
            <w:proofErr w:type="spellEnd"/>
          </w:p>
        </w:tc>
        <w:tc>
          <w:tcPr>
            <w:tcW w:w="3806" w:type="dxa"/>
            <w:tcBorders>
              <w:top w:val="nil"/>
              <w:left w:val="nil"/>
              <w:bottom w:val="single" w:sz="2" w:space="0" w:color="000000"/>
              <w:right w:val="nil"/>
            </w:tcBorders>
            <w:vAlign w:val="center"/>
            <w:hideMark/>
          </w:tcPr>
          <w:p w14:paraId="16A5372B" w14:textId="77777777" w:rsidR="00DB00B9" w:rsidRDefault="00DB00B9">
            <w:pPr>
              <w:pStyle w:val="bmdsTblBody"/>
              <w:jc w:val="center"/>
            </w:pPr>
            <w:r>
              <w:rPr>
                <w:sz w:val="16"/>
              </w:rPr>
              <w:t>20.033</w:t>
            </w:r>
          </w:p>
        </w:tc>
        <w:tc>
          <w:tcPr>
            <w:tcW w:w="3806" w:type="dxa"/>
            <w:tcBorders>
              <w:top w:val="nil"/>
              <w:left w:val="nil"/>
              <w:bottom w:val="single" w:sz="2" w:space="0" w:color="000000"/>
              <w:right w:val="nil"/>
            </w:tcBorders>
            <w:vAlign w:val="center"/>
            <w:hideMark/>
          </w:tcPr>
          <w:p w14:paraId="5B4236A6" w14:textId="77777777" w:rsidR="00DB00B9" w:rsidRDefault="00DB00B9">
            <w:pPr>
              <w:pStyle w:val="bmdsTblBody"/>
              <w:jc w:val="center"/>
            </w:pPr>
            <w:r>
              <w:rPr>
                <w:sz w:val="16"/>
              </w:rPr>
              <w:t>8.435-72.186</w:t>
            </w:r>
          </w:p>
        </w:tc>
        <w:tc>
          <w:tcPr>
            <w:tcW w:w="3806" w:type="dxa"/>
            <w:tcBorders>
              <w:top w:val="nil"/>
              <w:left w:val="nil"/>
              <w:bottom w:val="single" w:sz="2" w:space="0" w:color="000000"/>
              <w:right w:val="nil"/>
            </w:tcBorders>
            <w:vAlign w:val="center"/>
            <w:hideMark/>
          </w:tcPr>
          <w:p w14:paraId="163769D4" w14:textId="77777777" w:rsidR="00DB00B9" w:rsidRDefault="00DB00B9">
            <w:pPr>
              <w:pStyle w:val="bmdsTblBody"/>
              <w:jc w:val="center"/>
            </w:pPr>
            <w:r>
              <w:rPr>
                <w:sz w:val="16"/>
              </w:rPr>
              <w:t>2</w:t>
            </w:r>
          </w:p>
        </w:tc>
        <w:tc>
          <w:tcPr>
            <w:tcW w:w="3806" w:type="dxa"/>
            <w:tcBorders>
              <w:top w:val="nil"/>
              <w:left w:val="nil"/>
              <w:bottom w:val="single" w:sz="2" w:space="0" w:color="000000"/>
              <w:right w:val="nil"/>
            </w:tcBorders>
            <w:vAlign w:val="center"/>
            <w:hideMark/>
          </w:tcPr>
          <w:p w14:paraId="66E3B697" w14:textId="77777777" w:rsidR="00DB00B9" w:rsidRDefault="00DB00B9">
            <w:pPr>
              <w:pStyle w:val="bmdsTblBody"/>
              <w:jc w:val="center"/>
            </w:pPr>
            <w:r>
              <w:rPr>
                <w:sz w:val="16"/>
              </w:rPr>
              <w:t>4</w:t>
            </w:r>
          </w:p>
        </w:tc>
      </w:tr>
    </w:tbl>
    <w:p w14:paraId="6EF7CC2C" w14:textId="77777777" w:rsidR="00DB00B9" w:rsidRDefault="00DB00B9" w:rsidP="00DB00B9">
      <w:pPr>
        <w:pStyle w:val="bmdsTblFootnote"/>
      </w:pPr>
      <w:r>
        <w:t>Official gene symbols from the Rat Genome Database are shown in the “Active Genes” column. Definitions of Gene Ontology terms were provided by the Gene Ontology Resource (http://geneontology.org/).</w:t>
      </w:r>
    </w:p>
    <w:p w14:paraId="3360B2FD" w14:textId="22CEB249" w:rsidR="00DB00B9" w:rsidRDefault="00DB00B9" w:rsidP="00DB00B9">
      <w:pPr>
        <w:pStyle w:val="bmdsTblFootnote"/>
      </w:pPr>
      <w:r>
        <w:rPr>
          <w:b/>
        </w:rPr>
        <w:t>GO process description version:</w:t>
      </w:r>
      <w:r>
        <w:t xml:space="preserve"> </w:t>
      </w:r>
      <w:r w:rsidR="009D0756">
        <w:t xml:space="preserve">https://cebs.niehs.nih.gov/cebs/study/002-00600-0002-000-0 </w:t>
      </w:r>
      <w:proofErr w:type="spellStart"/>
      <w:r w:rsidR="00A873A7">
        <w:t>V04132020</w:t>
      </w:r>
      <w:proofErr w:type="spellEnd"/>
    </w:p>
    <w:p w14:paraId="1FBF6941" w14:textId="77777777" w:rsidR="00DB00B9" w:rsidRDefault="00DB00B9" w:rsidP="00DB00B9">
      <w:pPr>
        <w:pStyle w:val="bmdsTblFootnote"/>
      </w:pPr>
      <w:r>
        <w:rPr>
          <w:b/>
        </w:rPr>
        <w:t>GO:0048145 regulation of fibroblast proliferation:</w:t>
      </w:r>
      <w:r>
        <w:t xml:space="preserve"> Any process that modulates the frequency, rate or extent of multiplication or reproduction of fibroblast cells.</w:t>
      </w:r>
    </w:p>
    <w:p w14:paraId="0D35B82F" w14:textId="77777777" w:rsidR="00DB00B9" w:rsidRDefault="00DB00B9" w:rsidP="00DB00B9">
      <w:pPr>
        <w:pStyle w:val="bmdsTblFootnote"/>
      </w:pPr>
      <w:r>
        <w:rPr>
          <w:b/>
        </w:rPr>
        <w:t>GO:0048147 negative regulation of fibroblast proliferation:</w:t>
      </w:r>
      <w:r>
        <w:t xml:space="preserve"> Any process that stops, prevents, or reduces the frequency, rate or extent of multiplication or reproduction of fibroblast cells.</w:t>
      </w:r>
    </w:p>
    <w:p w14:paraId="60E7A72F" w14:textId="77777777" w:rsidR="00DB00B9" w:rsidRDefault="00DB00B9" w:rsidP="00DB00B9">
      <w:pPr>
        <w:pStyle w:val="bmdsTblFootnote"/>
      </w:pPr>
      <w:r>
        <w:rPr>
          <w:b/>
        </w:rPr>
        <w:lastRenderedPageBreak/>
        <w:t>GO:0001523 retinoid metabolic process:</w:t>
      </w:r>
      <w:r>
        <w:t xml:space="preserve"> The chemical reactions and pathways involving retinoids, any member of a class of isoprenoids that contain or are derived from four </w:t>
      </w:r>
      <w:proofErr w:type="spellStart"/>
      <w:r>
        <w:t>prenyl</w:t>
      </w:r>
      <w:proofErr w:type="spellEnd"/>
      <w:r>
        <w:t xml:space="preserve"> groups linked head-to-tail. Retinoids include retinol and retinal and structurally similar natural derivatives or synthetic </w:t>
      </w:r>
      <w:proofErr w:type="gramStart"/>
      <w:r>
        <w:t>compounds, but</w:t>
      </w:r>
      <w:proofErr w:type="gramEnd"/>
      <w:r>
        <w:t xml:space="preserve"> need not have vitamin A activity.</w:t>
      </w:r>
    </w:p>
    <w:p w14:paraId="3205942F" w14:textId="77777777" w:rsidR="00DB00B9" w:rsidRDefault="00DB00B9" w:rsidP="00DB00B9">
      <w:pPr>
        <w:pStyle w:val="bmdsTblFootnote"/>
      </w:pPr>
      <w:r>
        <w:rPr>
          <w:b/>
        </w:rPr>
        <w:t>GO:0006694 steroid biosynthetic process:</w:t>
      </w:r>
      <w:r>
        <w:t xml:space="preserve"> The chemical reactions and pathways resulting in the formation of steroids, compounds with a </w:t>
      </w:r>
      <w:proofErr w:type="spellStart"/>
      <w:r>
        <w:t>1,</w:t>
      </w:r>
      <w:proofErr w:type="gramStart"/>
      <w:r>
        <w:t>2,cyclopentanoperhydrophenanthrene</w:t>
      </w:r>
      <w:proofErr w:type="spellEnd"/>
      <w:proofErr w:type="gramEnd"/>
      <w:r>
        <w:t xml:space="preserve"> nucleus; includes de novo formation and steroid interconversion by modification.</w:t>
      </w:r>
    </w:p>
    <w:p w14:paraId="1B12AE50" w14:textId="77777777" w:rsidR="00DB00B9" w:rsidRDefault="00DB00B9" w:rsidP="00DB00B9">
      <w:pPr>
        <w:pStyle w:val="bmdsTblFootnote"/>
      </w:pPr>
      <w:r>
        <w:rPr>
          <w:b/>
        </w:rPr>
        <w:t>GO:0031100 animal organ regeneration:</w:t>
      </w:r>
      <w:r>
        <w:t xml:space="preserve"> The regrowth of a lost or destroyed animal organ.</w:t>
      </w:r>
    </w:p>
    <w:p w14:paraId="36B5E15E" w14:textId="77777777" w:rsidR="00DB00B9" w:rsidRDefault="00DB00B9" w:rsidP="00DB00B9">
      <w:pPr>
        <w:pStyle w:val="bmdsTblFootnote"/>
      </w:pPr>
      <w:r>
        <w:rPr>
          <w:b/>
        </w:rPr>
        <w:t>GO:0008610 lipid biosynthetic process:</w:t>
      </w:r>
      <w:r>
        <w:t xml:space="preserve"> The chemical reactions and pathways resulting in the formation of lipids, compounds soluble in an organic solvent but not, or sparingly, in an aqueous solvent.</w:t>
      </w:r>
    </w:p>
    <w:p w14:paraId="7A93B6BA" w14:textId="77777777" w:rsidR="00DB00B9" w:rsidRDefault="00DB00B9" w:rsidP="00DB00B9">
      <w:pPr>
        <w:pStyle w:val="bmdsTblFootnote"/>
      </w:pPr>
      <w:r>
        <w:rPr>
          <w:b/>
        </w:rPr>
        <w:t>GO:0016101 diterpenoid metabolic process:</w:t>
      </w:r>
      <w:r>
        <w:t xml:space="preserve"> The chemical reactions and pathways involving diterpenoid compounds, terpenoids with four isoprene units.</w:t>
      </w:r>
    </w:p>
    <w:p w14:paraId="0FD5E6C6" w14:textId="77777777" w:rsidR="00DB00B9" w:rsidRDefault="00DB00B9" w:rsidP="00DB00B9">
      <w:pPr>
        <w:pStyle w:val="bmdsTblFootnote"/>
      </w:pPr>
      <w:r>
        <w:rPr>
          <w:b/>
        </w:rPr>
        <w:t>GO:0034754 cellular hormone metabolic process:</w:t>
      </w:r>
      <w:r>
        <w:t xml:space="preserve"> The chemical reactions and pathways involving any hormone, naturally occurring substances secreted by specialized cells that affects the metabolism or behavior of other cells possessing functional receptors for the hormone, as carried out by individual cells.</w:t>
      </w:r>
    </w:p>
    <w:p w14:paraId="1C02EE4F" w14:textId="77777777" w:rsidR="00DB00B9" w:rsidRDefault="00DB00B9" w:rsidP="00DB00B9">
      <w:pPr>
        <w:pStyle w:val="bmdsTblFootnote"/>
      </w:pPr>
      <w:r>
        <w:rPr>
          <w:b/>
        </w:rPr>
        <w:t>GO:1902653 secondary alcohol biosynthetic process:</w:t>
      </w:r>
      <w:r>
        <w:t xml:space="preserve"> The chemical reactions and pathways resulting in the formation of secondary alcohol.</w:t>
      </w:r>
    </w:p>
    <w:p w14:paraId="377CFEE7" w14:textId="77777777" w:rsidR="00DB00B9" w:rsidRDefault="00DB00B9" w:rsidP="00DB00B9">
      <w:pPr>
        <w:pStyle w:val="bmdsTblFootnote"/>
      </w:pPr>
      <w:r>
        <w:rPr>
          <w:b/>
        </w:rPr>
        <w:t>GO:0071241 cellular response to inorganic substance:</w:t>
      </w:r>
      <w:r>
        <w:t xml:space="preserve"> Any process that results in a change in state or activity of a cell (in terms of movement, secretion, enzyme production, gene expression, etc.) </w:t>
      </w:r>
      <w:proofErr w:type="gramStart"/>
      <w:r>
        <w:t>as a result of</w:t>
      </w:r>
      <w:proofErr w:type="gramEnd"/>
      <w:r>
        <w:t xml:space="preserve"> an inorganic substance stimulus.</w:t>
      </w:r>
    </w:p>
    <w:p w14:paraId="03953B28" w14:textId="77777777" w:rsidR="00C505B6" w:rsidRDefault="00A873A7"/>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31"/>
    <w:rsid w:val="000B3A31"/>
    <w:rsid w:val="0021102E"/>
    <w:rsid w:val="009D0756"/>
    <w:rsid w:val="00A873A7"/>
    <w:rsid w:val="00DB00B9"/>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A020B-4B31-4714-8DB5-7ACA0682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0B9"/>
    <w:pPr>
      <w:spacing w:after="0" w:line="240" w:lineRule="auto"/>
    </w:pPr>
    <w:rPr>
      <w:sz w:val="24"/>
      <w:szCs w:val="24"/>
    </w:rPr>
  </w:style>
  <w:style w:type="paragraph" w:styleId="Heading3">
    <w:name w:val="heading 3"/>
    <w:basedOn w:val="Normal"/>
    <w:next w:val="Normal"/>
    <w:link w:val="Heading3Char"/>
    <w:uiPriority w:val="9"/>
    <w:semiHidden/>
    <w:unhideWhenUsed/>
    <w:qFormat/>
    <w:rsid w:val="00DB00B9"/>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B00B9"/>
    <w:rPr>
      <w:rFonts w:eastAsiaTheme="majorEastAsia" w:cstheme="majorBidi"/>
      <w:b/>
      <w:color w:val="000000" w:themeColor="text1"/>
      <w:sz w:val="24"/>
      <w:szCs w:val="24"/>
    </w:rPr>
  </w:style>
  <w:style w:type="paragraph" w:customStyle="1" w:styleId="bmdsTblBody">
    <w:name w:val="bmdsTblBody"/>
    <w:basedOn w:val="Normal"/>
    <w:qFormat/>
    <w:rsid w:val="00DB00B9"/>
    <w:rPr>
      <w:rFonts w:ascii="Times New Roman" w:hAnsi="Times New Roman"/>
      <w:sz w:val="18"/>
    </w:rPr>
  </w:style>
  <w:style w:type="paragraph" w:customStyle="1" w:styleId="bmdsTblFootnote">
    <w:name w:val="bmdsTblFootnote"/>
    <w:basedOn w:val="bmdsTblBody"/>
    <w:qFormat/>
    <w:rsid w:val="00DB00B9"/>
  </w:style>
  <w:style w:type="paragraph" w:customStyle="1" w:styleId="bmdsTblHeader">
    <w:name w:val="bmdsTblHeader"/>
    <w:basedOn w:val="bmdsTblBody"/>
    <w:qFormat/>
    <w:rsid w:val="00DB00B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4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2021-05-26T07:28:00Z</dcterms:created>
  <dcterms:modified xsi:type="dcterms:W3CDTF">2021-07-27T13:29:00Z</dcterms:modified>
</cp:coreProperties>
</file>