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5E337" w14:textId="77777777" w:rsidR="004C3077" w:rsidRDefault="004C3077" w:rsidP="004C3077">
      <w:pPr>
        <w:pStyle w:val="Heading3"/>
      </w:pPr>
      <w:r>
        <w:t>Male liver Top 10 Genes Ranked by Potency of Perturbation (Sorted by BMD Median)</w:t>
      </w:r>
    </w:p>
    <w:tbl>
      <w:tblPr>
        <w:tblW w:w="0" w:type="auto"/>
        <w:tblLook w:val="04A0" w:firstRow="1" w:lastRow="0" w:firstColumn="1" w:lastColumn="0" w:noHBand="0" w:noVBand="1"/>
      </w:tblPr>
      <w:tblGrid>
        <w:gridCol w:w="2134"/>
        <w:gridCol w:w="1325"/>
        <w:gridCol w:w="1670"/>
        <w:gridCol w:w="1394"/>
        <w:gridCol w:w="1396"/>
        <w:gridCol w:w="1441"/>
      </w:tblGrid>
      <w:tr w:rsidR="004C3077" w14:paraId="3485B507" w14:textId="77777777" w:rsidTr="004C3077">
        <w:tc>
          <w:tcPr>
            <w:tcW w:w="2134" w:type="dxa"/>
            <w:tcBorders>
              <w:top w:val="single" w:sz="2" w:space="0" w:color="000000"/>
              <w:left w:val="nil"/>
              <w:bottom w:val="single" w:sz="2" w:space="0" w:color="000000"/>
              <w:right w:val="nil"/>
            </w:tcBorders>
            <w:vAlign w:val="center"/>
            <w:hideMark/>
          </w:tcPr>
          <w:p w14:paraId="71AA9E67" w14:textId="77777777" w:rsidR="004C3077" w:rsidRDefault="004C3077">
            <w:pPr>
              <w:pStyle w:val="bmdsTblBody"/>
            </w:pPr>
            <w:r>
              <w:rPr>
                <w:b/>
              </w:rPr>
              <w:t>Gene Symbol</w:t>
            </w:r>
          </w:p>
        </w:tc>
        <w:tc>
          <w:tcPr>
            <w:tcW w:w="1325" w:type="dxa"/>
            <w:tcBorders>
              <w:top w:val="single" w:sz="2" w:space="0" w:color="000000"/>
              <w:left w:val="nil"/>
              <w:bottom w:val="single" w:sz="2" w:space="0" w:color="000000"/>
              <w:right w:val="nil"/>
            </w:tcBorders>
            <w:vAlign w:val="center"/>
            <w:hideMark/>
          </w:tcPr>
          <w:p w14:paraId="398BC523" w14:textId="77777777" w:rsidR="004C3077" w:rsidRDefault="004C3077">
            <w:pPr>
              <w:pStyle w:val="bmdsTblHeader"/>
              <w:jc w:val="center"/>
            </w:pPr>
            <w:r>
              <w:t>Entrez Gene IDs</w:t>
            </w:r>
          </w:p>
        </w:tc>
        <w:tc>
          <w:tcPr>
            <w:tcW w:w="1670" w:type="dxa"/>
            <w:tcBorders>
              <w:top w:val="single" w:sz="2" w:space="0" w:color="000000"/>
              <w:left w:val="nil"/>
              <w:bottom w:val="single" w:sz="2" w:space="0" w:color="000000"/>
              <w:right w:val="nil"/>
            </w:tcBorders>
            <w:vAlign w:val="center"/>
            <w:hideMark/>
          </w:tcPr>
          <w:p w14:paraId="4216A2F6" w14:textId="77777777" w:rsidR="004C3077" w:rsidRDefault="004C3077">
            <w:pPr>
              <w:pStyle w:val="bmdsTblHeader"/>
              <w:jc w:val="center"/>
            </w:pPr>
            <w:r>
              <w:t>Probe IDs</w:t>
            </w:r>
          </w:p>
        </w:tc>
        <w:tc>
          <w:tcPr>
            <w:tcW w:w="1394" w:type="dxa"/>
            <w:tcBorders>
              <w:top w:val="single" w:sz="2" w:space="0" w:color="000000"/>
              <w:left w:val="nil"/>
              <w:bottom w:val="single" w:sz="2" w:space="0" w:color="000000"/>
              <w:right w:val="nil"/>
            </w:tcBorders>
            <w:vAlign w:val="center"/>
            <w:hideMark/>
          </w:tcPr>
          <w:p w14:paraId="797689A3" w14:textId="77777777" w:rsidR="004C3077" w:rsidRDefault="004C3077">
            <w:pPr>
              <w:pStyle w:val="bmdsTblHeader"/>
              <w:jc w:val="center"/>
            </w:pPr>
            <w:proofErr w:type="spellStart"/>
            <w:r>
              <w:t>BMD</w:t>
            </w:r>
            <w:r>
              <w:rPr>
                <w:sz w:val="16"/>
                <w:vertAlign w:val="subscript"/>
              </w:rPr>
              <w:t>1Std</w:t>
            </w:r>
            <w:proofErr w:type="spellEnd"/>
            <w:r>
              <w:t xml:space="preserve"> (</w:t>
            </w:r>
            <w:proofErr w:type="spellStart"/>
            <w:r>
              <w:t>BMD</w:t>
            </w:r>
            <w:r>
              <w:rPr>
                <w:vertAlign w:val="subscript"/>
              </w:rPr>
              <w:t>L</w:t>
            </w:r>
            <w:r>
              <w:rPr>
                <w:sz w:val="16"/>
                <w:vertAlign w:val="subscript"/>
              </w:rPr>
              <w:t>1std</w:t>
            </w:r>
            <w:r>
              <w:t>-BMD</w:t>
            </w:r>
            <w:r>
              <w:rPr>
                <w:vertAlign w:val="subscript"/>
              </w:rPr>
              <w:t>U1std</w:t>
            </w:r>
            <w:proofErr w:type="spellEnd"/>
            <w:r>
              <w:t>) in mg/kg</w:t>
            </w:r>
          </w:p>
        </w:tc>
        <w:tc>
          <w:tcPr>
            <w:tcW w:w="1396" w:type="dxa"/>
            <w:tcBorders>
              <w:top w:val="single" w:sz="2" w:space="0" w:color="000000"/>
              <w:left w:val="nil"/>
              <w:bottom w:val="single" w:sz="2" w:space="0" w:color="000000"/>
              <w:right w:val="nil"/>
            </w:tcBorders>
            <w:vAlign w:val="center"/>
            <w:hideMark/>
          </w:tcPr>
          <w:p w14:paraId="538B1CFD" w14:textId="77777777" w:rsidR="004C3077" w:rsidRDefault="004C3077">
            <w:pPr>
              <w:pStyle w:val="bmdsTblHeader"/>
              <w:jc w:val="center"/>
            </w:pPr>
            <w:r>
              <w:t>Maximum Fold Change</w:t>
            </w:r>
          </w:p>
        </w:tc>
        <w:tc>
          <w:tcPr>
            <w:tcW w:w="1441" w:type="dxa"/>
            <w:tcBorders>
              <w:top w:val="single" w:sz="2" w:space="0" w:color="000000"/>
              <w:left w:val="nil"/>
              <w:bottom w:val="single" w:sz="2" w:space="0" w:color="000000"/>
              <w:right w:val="nil"/>
            </w:tcBorders>
            <w:vAlign w:val="center"/>
            <w:hideMark/>
          </w:tcPr>
          <w:p w14:paraId="1AE3E99C" w14:textId="77777777" w:rsidR="004C3077" w:rsidRDefault="004C3077">
            <w:pPr>
              <w:pStyle w:val="bmdsTblHeader"/>
              <w:jc w:val="center"/>
            </w:pPr>
            <w:r>
              <w:t>Direction of Expression Change</w:t>
            </w:r>
          </w:p>
        </w:tc>
      </w:tr>
      <w:tr w:rsidR="004C3077" w14:paraId="7C6BB940" w14:textId="77777777" w:rsidTr="004C3077">
        <w:tc>
          <w:tcPr>
            <w:tcW w:w="2134" w:type="dxa"/>
            <w:vAlign w:val="center"/>
            <w:hideMark/>
          </w:tcPr>
          <w:p w14:paraId="087E9F98" w14:textId="77777777" w:rsidR="004C3077" w:rsidRDefault="004C3077">
            <w:pPr>
              <w:pStyle w:val="bmdsTblBody"/>
            </w:pPr>
            <w:proofErr w:type="spellStart"/>
            <w:r>
              <w:rPr>
                <w:b/>
              </w:rPr>
              <w:t>zfp354a</w:t>
            </w:r>
            <w:proofErr w:type="spellEnd"/>
          </w:p>
        </w:tc>
        <w:tc>
          <w:tcPr>
            <w:tcW w:w="1325" w:type="dxa"/>
            <w:vAlign w:val="center"/>
            <w:hideMark/>
          </w:tcPr>
          <w:p w14:paraId="7CBD39B8" w14:textId="77777777" w:rsidR="004C3077" w:rsidRDefault="004C3077">
            <w:pPr>
              <w:pStyle w:val="bmdsTblBody"/>
              <w:jc w:val="center"/>
            </w:pPr>
            <w:r>
              <w:rPr>
                <w:sz w:val="16"/>
              </w:rPr>
              <w:t>24522</w:t>
            </w:r>
          </w:p>
        </w:tc>
        <w:tc>
          <w:tcPr>
            <w:tcW w:w="1670" w:type="dxa"/>
            <w:vAlign w:val="center"/>
            <w:hideMark/>
          </w:tcPr>
          <w:p w14:paraId="025C4E32" w14:textId="77777777" w:rsidR="004C3077" w:rsidRDefault="004C3077">
            <w:pPr>
              <w:pStyle w:val="bmdsTblBody"/>
              <w:jc w:val="center"/>
            </w:pPr>
            <w:r>
              <w:rPr>
                <w:sz w:val="16"/>
              </w:rPr>
              <w:t>ZFP354A_10203</w:t>
            </w:r>
          </w:p>
        </w:tc>
        <w:tc>
          <w:tcPr>
            <w:tcW w:w="1394" w:type="dxa"/>
            <w:vAlign w:val="center"/>
            <w:hideMark/>
          </w:tcPr>
          <w:p w14:paraId="2A307B81" w14:textId="77777777" w:rsidR="004C3077" w:rsidRDefault="004C3077">
            <w:pPr>
              <w:pStyle w:val="bmdsTblBody"/>
              <w:jc w:val="center"/>
            </w:pPr>
            <w:r>
              <w:rPr>
                <w:sz w:val="16"/>
              </w:rPr>
              <w:t>3.267 (1.720-6.668)</w:t>
            </w:r>
          </w:p>
        </w:tc>
        <w:tc>
          <w:tcPr>
            <w:tcW w:w="1396" w:type="dxa"/>
            <w:vAlign w:val="center"/>
            <w:hideMark/>
          </w:tcPr>
          <w:p w14:paraId="20FEC535" w14:textId="77777777" w:rsidR="004C3077" w:rsidRDefault="004C3077">
            <w:pPr>
              <w:pStyle w:val="bmdsTblBody"/>
              <w:jc w:val="center"/>
            </w:pPr>
            <w:r>
              <w:rPr>
                <w:sz w:val="16"/>
              </w:rPr>
              <w:t>6.5</w:t>
            </w:r>
          </w:p>
        </w:tc>
        <w:tc>
          <w:tcPr>
            <w:tcW w:w="1441" w:type="dxa"/>
            <w:vAlign w:val="center"/>
            <w:hideMark/>
          </w:tcPr>
          <w:p w14:paraId="68E0355A" w14:textId="77777777" w:rsidR="004C3077" w:rsidRDefault="004C3077">
            <w:pPr>
              <w:pStyle w:val="bmdsTblBody"/>
              <w:jc w:val="center"/>
            </w:pPr>
            <w:r>
              <w:rPr>
                <w:sz w:val="16"/>
              </w:rPr>
              <w:t>DOWN</w:t>
            </w:r>
          </w:p>
        </w:tc>
      </w:tr>
      <w:tr w:rsidR="004C3077" w14:paraId="57DB43EE" w14:textId="77777777" w:rsidTr="004C3077">
        <w:tc>
          <w:tcPr>
            <w:tcW w:w="2134" w:type="dxa"/>
            <w:vAlign w:val="center"/>
            <w:hideMark/>
          </w:tcPr>
          <w:p w14:paraId="4BAEBA3F" w14:textId="77777777" w:rsidR="004C3077" w:rsidRDefault="004C3077">
            <w:pPr>
              <w:pStyle w:val="bmdsTblBody"/>
            </w:pPr>
            <w:proofErr w:type="spellStart"/>
            <w:r>
              <w:rPr>
                <w:b/>
              </w:rPr>
              <w:t>g0s2</w:t>
            </w:r>
            <w:proofErr w:type="spellEnd"/>
          </w:p>
        </w:tc>
        <w:tc>
          <w:tcPr>
            <w:tcW w:w="1325" w:type="dxa"/>
            <w:vAlign w:val="center"/>
            <w:hideMark/>
          </w:tcPr>
          <w:p w14:paraId="092BCF3E" w14:textId="77777777" w:rsidR="004C3077" w:rsidRDefault="004C3077">
            <w:pPr>
              <w:pStyle w:val="bmdsTblBody"/>
              <w:jc w:val="center"/>
            </w:pPr>
            <w:r>
              <w:rPr>
                <w:sz w:val="16"/>
              </w:rPr>
              <w:t>289388</w:t>
            </w:r>
          </w:p>
        </w:tc>
        <w:tc>
          <w:tcPr>
            <w:tcW w:w="1670" w:type="dxa"/>
            <w:vAlign w:val="center"/>
            <w:hideMark/>
          </w:tcPr>
          <w:p w14:paraId="70BA3485" w14:textId="77777777" w:rsidR="004C3077" w:rsidRDefault="004C3077">
            <w:pPr>
              <w:pStyle w:val="bmdsTblBody"/>
              <w:jc w:val="center"/>
            </w:pPr>
            <w:r>
              <w:rPr>
                <w:sz w:val="16"/>
              </w:rPr>
              <w:t>G0S2_32729</w:t>
            </w:r>
          </w:p>
        </w:tc>
        <w:tc>
          <w:tcPr>
            <w:tcW w:w="1394" w:type="dxa"/>
            <w:vAlign w:val="center"/>
            <w:hideMark/>
          </w:tcPr>
          <w:p w14:paraId="327DB898" w14:textId="77777777" w:rsidR="004C3077" w:rsidRDefault="004C3077">
            <w:pPr>
              <w:pStyle w:val="bmdsTblBody"/>
              <w:jc w:val="center"/>
            </w:pPr>
            <w:r>
              <w:rPr>
                <w:sz w:val="16"/>
              </w:rPr>
              <w:t>3.451 (1.074-14.322)</w:t>
            </w:r>
          </w:p>
        </w:tc>
        <w:tc>
          <w:tcPr>
            <w:tcW w:w="1396" w:type="dxa"/>
            <w:vAlign w:val="center"/>
            <w:hideMark/>
          </w:tcPr>
          <w:p w14:paraId="1C1F76D0" w14:textId="77777777" w:rsidR="004C3077" w:rsidRDefault="004C3077">
            <w:pPr>
              <w:pStyle w:val="bmdsTblBody"/>
              <w:jc w:val="center"/>
            </w:pPr>
            <w:r>
              <w:rPr>
                <w:sz w:val="16"/>
              </w:rPr>
              <w:t>2.1</w:t>
            </w:r>
          </w:p>
        </w:tc>
        <w:tc>
          <w:tcPr>
            <w:tcW w:w="1441" w:type="dxa"/>
            <w:vAlign w:val="center"/>
            <w:hideMark/>
          </w:tcPr>
          <w:p w14:paraId="7E1DC9FF" w14:textId="77777777" w:rsidR="004C3077" w:rsidRDefault="004C3077">
            <w:pPr>
              <w:pStyle w:val="bmdsTblBody"/>
              <w:jc w:val="center"/>
            </w:pPr>
            <w:r>
              <w:rPr>
                <w:sz w:val="16"/>
              </w:rPr>
              <w:t>UP</w:t>
            </w:r>
          </w:p>
        </w:tc>
      </w:tr>
      <w:tr w:rsidR="004C3077" w14:paraId="369802C4" w14:textId="77777777" w:rsidTr="004C3077">
        <w:tc>
          <w:tcPr>
            <w:tcW w:w="2134" w:type="dxa"/>
            <w:vAlign w:val="center"/>
            <w:hideMark/>
          </w:tcPr>
          <w:p w14:paraId="11C9EAE3" w14:textId="77777777" w:rsidR="004C3077" w:rsidRDefault="004C3077">
            <w:pPr>
              <w:pStyle w:val="bmdsTblBody"/>
            </w:pPr>
            <w:proofErr w:type="spellStart"/>
            <w:r>
              <w:rPr>
                <w:b/>
              </w:rPr>
              <w:t>tsku</w:t>
            </w:r>
            <w:proofErr w:type="spellEnd"/>
          </w:p>
        </w:tc>
        <w:tc>
          <w:tcPr>
            <w:tcW w:w="1325" w:type="dxa"/>
            <w:vAlign w:val="center"/>
            <w:hideMark/>
          </w:tcPr>
          <w:p w14:paraId="0A44CFC0" w14:textId="77777777" w:rsidR="004C3077" w:rsidRDefault="004C3077">
            <w:pPr>
              <w:pStyle w:val="bmdsTblBody"/>
              <w:jc w:val="center"/>
            </w:pPr>
            <w:r>
              <w:rPr>
                <w:sz w:val="16"/>
              </w:rPr>
              <w:t>308843</w:t>
            </w:r>
          </w:p>
        </w:tc>
        <w:tc>
          <w:tcPr>
            <w:tcW w:w="1670" w:type="dxa"/>
            <w:vAlign w:val="center"/>
            <w:hideMark/>
          </w:tcPr>
          <w:p w14:paraId="0CE29E98" w14:textId="77777777" w:rsidR="004C3077" w:rsidRDefault="004C3077">
            <w:pPr>
              <w:pStyle w:val="bmdsTblBody"/>
              <w:jc w:val="center"/>
            </w:pPr>
            <w:r>
              <w:rPr>
                <w:sz w:val="16"/>
              </w:rPr>
              <w:t>TSKU_10094</w:t>
            </w:r>
          </w:p>
        </w:tc>
        <w:tc>
          <w:tcPr>
            <w:tcW w:w="1394" w:type="dxa"/>
            <w:vAlign w:val="center"/>
            <w:hideMark/>
          </w:tcPr>
          <w:p w14:paraId="6CEAD647" w14:textId="77777777" w:rsidR="004C3077" w:rsidRDefault="004C3077">
            <w:pPr>
              <w:pStyle w:val="bmdsTblBody"/>
              <w:jc w:val="center"/>
            </w:pPr>
            <w:r>
              <w:rPr>
                <w:sz w:val="16"/>
              </w:rPr>
              <w:t>6.126 (1.466-41.334)</w:t>
            </w:r>
          </w:p>
        </w:tc>
        <w:tc>
          <w:tcPr>
            <w:tcW w:w="1396" w:type="dxa"/>
            <w:vAlign w:val="center"/>
            <w:hideMark/>
          </w:tcPr>
          <w:p w14:paraId="082B5051" w14:textId="77777777" w:rsidR="004C3077" w:rsidRDefault="004C3077">
            <w:pPr>
              <w:pStyle w:val="bmdsTblBody"/>
              <w:jc w:val="center"/>
            </w:pPr>
            <w:r>
              <w:rPr>
                <w:sz w:val="16"/>
              </w:rPr>
              <w:t>2.4</w:t>
            </w:r>
          </w:p>
        </w:tc>
        <w:tc>
          <w:tcPr>
            <w:tcW w:w="1441" w:type="dxa"/>
            <w:vAlign w:val="center"/>
            <w:hideMark/>
          </w:tcPr>
          <w:p w14:paraId="00B4E3E9" w14:textId="77777777" w:rsidR="004C3077" w:rsidRDefault="004C3077">
            <w:pPr>
              <w:pStyle w:val="bmdsTblBody"/>
              <w:jc w:val="center"/>
            </w:pPr>
            <w:r>
              <w:rPr>
                <w:sz w:val="16"/>
              </w:rPr>
              <w:t>DOWN</w:t>
            </w:r>
          </w:p>
        </w:tc>
      </w:tr>
      <w:tr w:rsidR="004C3077" w14:paraId="3127E780" w14:textId="77777777" w:rsidTr="004C3077">
        <w:tc>
          <w:tcPr>
            <w:tcW w:w="2134" w:type="dxa"/>
            <w:vAlign w:val="center"/>
            <w:hideMark/>
          </w:tcPr>
          <w:p w14:paraId="00AED7A0" w14:textId="77777777" w:rsidR="004C3077" w:rsidRDefault="004C3077">
            <w:pPr>
              <w:pStyle w:val="bmdsTblBody"/>
            </w:pPr>
            <w:proofErr w:type="spellStart"/>
            <w:r>
              <w:rPr>
                <w:b/>
              </w:rPr>
              <w:t>egr1</w:t>
            </w:r>
            <w:proofErr w:type="spellEnd"/>
          </w:p>
        </w:tc>
        <w:tc>
          <w:tcPr>
            <w:tcW w:w="1325" w:type="dxa"/>
            <w:vAlign w:val="center"/>
            <w:hideMark/>
          </w:tcPr>
          <w:p w14:paraId="4E92B977" w14:textId="77777777" w:rsidR="004C3077" w:rsidRDefault="004C3077">
            <w:pPr>
              <w:pStyle w:val="bmdsTblBody"/>
              <w:jc w:val="center"/>
            </w:pPr>
            <w:r>
              <w:rPr>
                <w:sz w:val="16"/>
              </w:rPr>
              <w:t>24330</w:t>
            </w:r>
          </w:p>
        </w:tc>
        <w:tc>
          <w:tcPr>
            <w:tcW w:w="1670" w:type="dxa"/>
            <w:vAlign w:val="center"/>
            <w:hideMark/>
          </w:tcPr>
          <w:p w14:paraId="6DE1E7BD" w14:textId="77777777" w:rsidR="004C3077" w:rsidRDefault="004C3077">
            <w:pPr>
              <w:pStyle w:val="bmdsTblBody"/>
              <w:jc w:val="center"/>
            </w:pPr>
            <w:r>
              <w:rPr>
                <w:sz w:val="16"/>
              </w:rPr>
              <w:t>EGR1_8533</w:t>
            </w:r>
          </w:p>
        </w:tc>
        <w:tc>
          <w:tcPr>
            <w:tcW w:w="1394" w:type="dxa"/>
            <w:vAlign w:val="center"/>
            <w:hideMark/>
          </w:tcPr>
          <w:p w14:paraId="0E843D57" w14:textId="77777777" w:rsidR="004C3077" w:rsidRDefault="004C3077">
            <w:pPr>
              <w:pStyle w:val="bmdsTblBody"/>
              <w:jc w:val="center"/>
            </w:pPr>
            <w:r>
              <w:rPr>
                <w:sz w:val="16"/>
              </w:rPr>
              <w:t>8.263 (1.517-45.905)</w:t>
            </w:r>
          </w:p>
        </w:tc>
        <w:tc>
          <w:tcPr>
            <w:tcW w:w="1396" w:type="dxa"/>
            <w:vAlign w:val="center"/>
            <w:hideMark/>
          </w:tcPr>
          <w:p w14:paraId="0231F9DE" w14:textId="77777777" w:rsidR="004C3077" w:rsidRDefault="004C3077">
            <w:pPr>
              <w:pStyle w:val="bmdsTblBody"/>
              <w:jc w:val="center"/>
            </w:pPr>
            <w:r>
              <w:rPr>
                <w:sz w:val="16"/>
              </w:rPr>
              <w:t>5.3</w:t>
            </w:r>
          </w:p>
        </w:tc>
        <w:tc>
          <w:tcPr>
            <w:tcW w:w="1441" w:type="dxa"/>
            <w:vAlign w:val="center"/>
            <w:hideMark/>
          </w:tcPr>
          <w:p w14:paraId="524B6328" w14:textId="77777777" w:rsidR="004C3077" w:rsidRDefault="004C3077">
            <w:pPr>
              <w:pStyle w:val="bmdsTblBody"/>
              <w:jc w:val="center"/>
            </w:pPr>
            <w:r>
              <w:rPr>
                <w:sz w:val="16"/>
              </w:rPr>
              <w:t>DOWN</w:t>
            </w:r>
          </w:p>
        </w:tc>
      </w:tr>
      <w:tr w:rsidR="004C3077" w14:paraId="154C71DC" w14:textId="77777777" w:rsidTr="004C3077">
        <w:tc>
          <w:tcPr>
            <w:tcW w:w="2134" w:type="dxa"/>
            <w:vAlign w:val="center"/>
            <w:hideMark/>
          </w:tcPr>
          <w:p w14:paraId="62E8EE8B" w14:textId="77777777" w:rsidR="004C3077" w:rsidRDefault="004C3077">
            <w:pPr>
              <w:pStyle w:val="bmdsTblBody"/>
            </w:pPr>
            <w:proofErr w:type="spellStart"/>
            <w:r>
              <w:rPr>
                <w:b/>
              </w:rPr>
              <w:t>c7</w:t>
            </w:r>
            <w:proofErr w:type="spellEnd"/>
          </w:p>
        </w:tc>
        <w:tc>
          <w:tcPr>
            <w:tcW w:w="1325" w:type="dxa"/>
            <w:vAlign w:val="center"/>
            <w:hideMark/>
          </w:tcPr>
          <w:p w14:paraId="1D142A8E" w14:textId="77777777" w:rsidR="004C3077" w:rsidRDefault="004C3077">
            <w:pPr>
              <w:pStyle w:val="bmdsTblBody"/>
              <w:jc w:val="center"/>
            </w:pPr>
            <w:r>
              <w:rPr>
                <w:sz w:val="16"/>
              </w:rPr>
              <w:t>117517</w:t>
            </w:r>
          </w:p>
        </w:tc>
        <w:tc>
          <w:tcPr>
            <w:tcW w:w="1670" w:type="dxa"/>
            <w:vAlign w:val="center"/>
            <w:hideMark/>
          </w:tcPr>
          <w:p w14:paraId="29B15E2F" w14:textId="77777777" w:rsidR="004C3077" w:rsidRDefault="004C3077">
            <w:pPr>
              <w:pStyle w:val="bmdsTblBody"/>
              <w:jc w:val="center"/>
            </w:pPr>
            <w:proofErr w:type="spellStart"/>
            <w:r>
              <w:rPr>
                <w:sz w:val="16"/>
              </w:rPr>
              <w:t>C7_8179</w:t>
            </w:r>
            <w:proofErr w:type="spellEnd"/>
          </w:p>
        </w:tc>
        <w:tc>
          <w:tcPr>
            <w:tcW w:w="1394" w:type="dxa"/>
            <w:vAlign w:val="center"/>
            <w:hideMark/>
          </w:tcPr>
          <w:p w14:paraId="1476E753" w14:textId="77777777" w:rsidR="004C3077" w:rsidRDefault="004C3077">
            <w:pPr>
              <w:pStyle w:val="bmdsTblBody"/>
              <w:jc w:val="center"/>
            </w:pPr>
            <w:r>
              <w:rPr>
                <w:sz w:val="16"/>
              </w:rPr>
              <w:t>13.843 (5.329-41.896)</w:t>
            </w:r>
          </w:p>
        </w:tc>
        <w:tc>
          <w:tcPr>
            <w:tcW w:w="1396" w:type="dxa"/>
            <w:vAlign w:val="center"/>
            <w:hideMark/>
          </w:tcPr>
          <w:p w14:paraId="3095221C" w14:textId="77777777" w:rsidR="004C3077" w:rsidRDefault="004C3077">
            <w:pPr>
              <w:pStyle w:val="bmdsTblBody"/>
              <w:jc w:val="center"/>
            </w:pPr>
            <w:r>
              <w:rPr>
                <w:sz w:val="16"/>
              </w:rPr>
              <w:t>2.5</w:t>
            </w:r>
          </w:p>
        </w:tc>
        <w:tc>
          <w:tcPr>
            <w:tcW w:w="1441" w:type="dxa"/>
            <w:vAlign w:val="center"/>
            <w:hideMark/>
          </w:tcPr>
          <w:p w14:paraId="644A6689" w14:textId="77777777" w:rsidR="004C3077" w:rsidRDefault="004C3077">
            <w:pPr>
              <w:pStyle w:val="bmdsTblBody"/>
              <w:jc w:val="center"/>
            </w:pPr>
            <w:r>
              <w:rPr>
                <w:sz w:val="16"/>
              </w:rPr>
              <w:t>DOWN</w:t>
            </w:r>
          </w:p>
        </w:tc>
      </w:tr>
      <w:tr w:rsidR="004C3077" w14:paraId="457CBCE5" w14:textId="77777777" w:rsidTr="004C3077">
        <w:tc>
          <w:tcPr>
            <w:tcW w:w="2134" w:type="dxa"/>
            <w:vAlign w:val="center"/>
            <w:hideMark/>
          </w:tcPr>
          <w:p w14:paraId="30B8C177" w14:textId="77777777" w:rsidR="004C3077" w:rsidRDefault="004C3077">
            <w:pPr>
              <w:pStyle w:val="bmdsTblBody"/>
            </w:pPr>
            <w:proofErr w:type="spellStart"/>
            <w:r>
              <w:rPr>
                <w:b/>
              </w:rPr>
              <w:t>trib3</w:t>
            </w:r>
            <w:proofErr w:type="spellEnd"/>
          </w:p>
        </w:tc>
        <w:tc>
          <w:tcPr>
            <w:tcW w:w="1325" w:type="dxa"/>
            <w:vAlign w:val="center"/>
            <w:hideMark/>
          </w:tcPr>
          <w:p w14:paraId="3AE2C314" w14:textId="77777777" w:rsidR="004C3077" w:rsidRDefault="004C3077">
            <w:pPr>
              <w:pStyle w:val="bmdsTblBody"/>
              <w:jc w:val="center"/>
            </w:pPr>
            <w:r>
              <w:rPr>
                <w:sz w:val="16"/>
              </w:rPr>
              <w:t>246273</w:t>
            </w:r>
          </w:p>
        </w:tc>
        <w:tc>
          <w:tcPr>
            <w:tcW w:w="1670" w:type="dxa"/>
            <w:vAlign w:val="center"/>
            <w:hideMark/>
          </w:tcPr>
          <w:p w14:paraId="2862AFBB" w14:textId="77777777" w:rsidR="004C3077" w:rsidRDefault="004C3077">
            <w:pPr>
              <w:pStyle w:val="bmdsTblBody"/>
              <w:jc w:val="center"/>
            </w:pPr>
            <w:r>
              <w:rPr>
                <w:sz w:val="16"/>
              </w:rPr>
              <w:t>TRIB3_10079</w:t>
            </w:r>
          </w:p>
        </w:tc>
        <w:tc>
          <w:tcPr>
            <w:tcW w:w="1394" w:type="dxa"/>
            <w:vAlign w:val="center"/>
            <w:hideMark/>
          </w:tcPr>
          <w:p w14:paraId="6CFC6E20" w14:textId="77777777" w:rsidR="004C3077" w:rsidRDefault="004C3077">
            <w:pPr>
              <w:pStyle w:val="bmdsTblBody"/>
              <w:jc w:val="center"/>
            </w:pPr>
            <w:r>
              <w:rPr>
                <w:sz w:val="16"/>
              </w:rPr>
              <w:t>16.895 (6.465-58.991)</w:t>
            </w:r>
          </w:p>
        </w:tc>
        <w:tc>
          <w:tcPr>
            <w:tcW w:w="1396" w:type="dxa"/>
            <w:vAlign w:val="center"/>
            <w:hideMark/>
          </w:tcPr>
          <w:p w14:paraId="2B19AF9F" w14:textId="77777777" w:rsidR="004C3077" w:rsidRDefault="004C3077">
            <w:pPr>
              <w:pStyle w:val="bmdsTblBody"/>
              <w:jc w:val="center"/>
            </w:pPr>
            <w:r>
              <w:rPr>
                <w:sz w:val="16"/>
              </w:rPr>
              <w:t>2.3</w:t>
            </w:r>
          </w:p>
        </w:tc>
        <w:tc>
          <w:tcPr>
            <w:tcW w:w="1441" w:type="dxa"/>
            <w:vAlign w:val="center"/>
            <w:hideMark/>
          </w:tcPr>
          <w:p w14:paraId="1373331E" w14:textId="77777777" w:rsidR="004C3077" w:rsidRDefault="004C3077">
            <w:pPr>
              <w:pStyle w:val="bmdsTblBody"/>
              <w:jc w:val="center"/>
            </w:pPr>
            <w:r>
              <w:rPr>
                <w:sz w:val="16"/>
              </w:rPr>
              <w:t>UP</w:t>
            </w:r>
          </w:p>
        </w:tc>
      </w:tr>
      <w:tr w:rsidR="004C3077" w14:paraId="6240C1AA" w14:textId="77777777" w:rsidTr="004C3077">
        <w:tc>
          <w:tcPr>
            <w:tcW w:w="2134" w:type="dxa"/>
            <w:vAlign w:val="center"/>
            <w:hideMark/>
          </w:tcPr>
          <w:p w14:paraId="5D678378" w14:textId="77777777" w:rsidR="004C3077" w:rsidRDefault="004C3077">
            <w:pPr>
              <w:pStyle w:val="bmdsTblBody"/>
            </w:pPr>
            <w:proofErr w:type="spellStart"/>
            <w:r>
              <w:rPr>
                <w:b/>
              </w:rPr>
              <w:t>akr7a3</w:t>
            </w:r>
            <w:proofErr w:type="spellEnd"/>
          </w:p>
        </w:tc>
        <w:tc>
          <w:tcPr>
            <w:tcW w:w="1325" w:type="dxa"/>
            <w:vAlign w:val="center"/>
            <w:hideMark/>
          </w:tcPr>
          <w:p w14:paraId="672B6A1C" w14:textId="77777777" w:rsidR="004C3077" w:rsidRDefault="004C3077">
            <w:pPr>
              <w:pStyle w:val="bmdsTblBody"/>
              <w:jc w:val="center"/>
            </w:pPr>
            <w:r>
              <w:rPr>
                <w:sz w:val="16"/>
              </w:rPr>
              <w:t>26760</w:t>
            </w:r>
          </w:p>
        </w:tc>
        <w:tc>
          <w:tcPr>
            <w:tcW w:w="1670" w:type="dxa"/>
            <w:vAlign w:val="center"/>
            <w:hideMark/>
          </w:tcPr>
          <w:p w14:paraId="07929402" w14:textId="77777777" w:rsidR="004C3077" w:rsidRDefault="004C3077">
            <w:pPr>
              <w:pStyle w:val="bmdsTblBody"/>
              <w:jc w:val="center"/>
            </w:pPr>
            <w:r>
              <w:rPr>
                <w:sz w:val="16"/>
              </w:rPr>
              <w:t>AKR7A3_8015</w:t>
            </w:r>
          </w:p>
        </w:tc>
        <w:tc>
          <w:tcPr>
            <w:tcW w:w="1394" w:type="dxa"/>
            <w:vAlign w:val="center"/>
            <w:hideMark/>
          </w:tcPr>
          <w:p w14:paraId="1D44D06B" w14:textId="77777777" w:rsidR="004C3077" w:rsidRDefault="004C3077">
            <w:pPr>
              <w:pStyle w:val="bmdsTblBody"/>
              <w:jc w:val="center"/>
            </w:pPr>
            <w:r>
              <w:rPr>
                <w:sz w:val="16"/>
              </w:rPr>
              <w:t>19.850 (12.797-32.354)</w:t>
            </w:r>
          </w:p>
        </w:tc>
        <w:tc>
          <w:tcPr>
            <w:tcW w:w="1396" w:type="dxa"/>
            <w:vAlign w:val="center"/>
            <w:hideMark/>
          </w:tcPr>
          <w:p w14:paraId="73FC5B7B" w14:textId="77777777" w:rsidR="004C3077" w:rsidRDefault="004C3077">
            <w:pPr>
              <w:pStyle w:val="bmdsTblBody"/>
              <w:jc w:val="center"/>
            </w:pPr>
            <w:r>
              <w:rPr>
                <w:sz w:val="16"/>
              </w:rPr>
              <w:t>4.1</w:t>
            </w:r>
          </w:p>
        </w:tc>
        <w:tc>
          <w:tcPr>
            <w:tcW w:w="1441" w:type="dxa"/>
            <w:vAlign w:val="center"/>
            <w:hideMark/>
          </w:tcPr>
          <w:p w14:paraId="334E69E2" w14:textId="77777777" w:rsidR="004C3077" w:rsidRDefault="004C3077">
            <w:pPr>
              <w:pStyle w:val="bmdsTblBody"/>
              <w:jc w:val="center"/>
            </w:pPr>
            <w:r>
              <w:rPr>
                <w:sz w:val="16"/>
              </w:rPr>
              <w:t>UP</w:t>
            </w:r>
          </w:p>
        </w:tc>
      </w:tr>
      <w:tr w:rsidR="004C3077" w14:paraId="44A6CC2A" w14:textId="77777777" w:rsidTr="004C3077">
        <w:tc>
          <w:tcPr>
            <w:tcW w:w="2134" w:type="dxa"/>
            <w:vAlign w:val="center"/>
            <w:hideMark/>
          </w:tcPr>
          <w:p w14:paraId="69528A4C" w14:textId="77777777" w:rsidR="004C3077" w:rsidRDefault="004C3077">
            <w:pPr>
              <w:pStyle w:val="bmdsTblBody"/>
            </w:pPr>
            <w:proofErr w:type="spellStart"/>
            <w:r>
              <w:rPr>
                <w:b/>
              </w:rPr>
              <w:t>nqo1</w:t>
            </w:r>
            <w:proofErr w:type="spellEnd"/>
          </w:p>
        </w:tc>
        <w:tc>
          <w:tcPr>
            <w:tcW w:w="1325" w:type="dxa"/>
            <w:vAlign w:val="center"/>
            <w:hideMark/>
          </w:tcPr>
          <w:p w14:paraId="1E9062E6" w14:textId="77777777" w:rsidR="004C3077" w:rsidRDefault="004C3077">
            <w:pPr>
              <w:pStyle w:val="bmdsTblBody"/>
              <w:jc w:val="center"/>
            </w:pPr>
            <w:r>
              <w:rPr>
                <w:sz w:val="16"/>
              </w:rPr>
              <w:t>24314</w:t>
            </w:r>
          </w:p>
        </w:tc>
        <w:tc>
          <w:tcPr>
            <w:tcW w:w="1670" w:type="dxa"/>
            <w:vAlign w:val="center"/>
            <w:hideMark/>
          </w:tcPr>
          <w:p w14:paraId="242ECA81" w14:textId="77777777" w:rsidR="004C3077" w:rsidRDefault="004C3077">
            <w:pPr>
              <w:pStyle w:val="bmdsTblBody"/>
              <w:jc w:val="center"/>
            </w:pPr>
            <w:r>
              <w:rPr>
                <w:sz w:val="16"/>
              </w:rPr>
              <w:t>NQO1_33055</w:t>
            </w:r>
          </w:p>
        </w:tc>
        <w:tc>
          <w:tcPr>
            <w:tcW w:w="1394" w:type="dxa"/>
            <w:vAlign w:val="center"/>
            <w:hideMark/>
          </w:tcPr>
          <w:p w14:paraId="321B6C23" w14:textId="77777777" w:rsidR="004C3077" w:rsidRDefault="004C3077">
            <w:pPr>
              <w:pStyle w:val="bmdsTblBody"/>
              <w:jc w:val="center"/>
            </w:pPr>
            <w:r>
              <w:rPr>
                <w:sz w:val="16"/>
              </w:rPr>
              <w:t>24.112 (16.415-37.043)</w:t>
            </w:r>
          </w:p>
        </w:tc>
        <w:tc>
          <w:tcPr>
            <w:tcW w:w="1396" w:type="dxa"/>
            <w:vAlign w:val="center"/>
            <w:hideMark/>
          </w:tcPr>
          <w:p w14:paraId="61105A2C" w14:textId="77777777" w:rsidR="004C3077" w:rsidRDefault="004C3077">
            <w:pPr>
              <w:pStyle w:val="bmdsTblBody"/>
              <w:jc w:val="center"/>
            </w:pPr>
            <w:r>
              <w:rPr>
                <w:sz w:val="16"/>
              </w:rPr>
              <w:t>4.8</w:t>
            </w:r>
          </w:p>
        </w:tc>
        <w:tc>
          <w:tcPr>
            <w:tcW w:w="1441" w:type="dxa"/>
            <w:vAlign w:val="center"/>
            <w:hideMark/>
          </w:tcPr>
          <w:p w14:paraId="4B60338F" w14:textId="77777777" w:rsidR="004C3077" w:rsidRDefault="004C3077">
            <w:pPr>
              <w:pStyle w:val="bmdsTblBody"/>
              <w:jc w:val="center"/>
            </w:pPr>
            <w:r>
              <w:rPr>
                <w:sz w:val="16"/>
              </w:rPr>
              <w:t>UP</w:t>
            </w:r>
          </w:p>
        </w:tc>
      </w:tr>
      <w:tr w:rsidR="004C3077" w14:paraId="714AD5AA" w14:textId="77777777" w:rsidTr="004C3077">
        <w:tc>
          <w:tcPr>
            <w:tcW w:w="2134" w:type="dxa"/>
            <w:vAlign w:val="center"/>
            <w:hideMark/>
          </w:tcPr>
          <w:p w14:paraId="4DF35195" w14:textId="77777777" w:rsidR="004C3077" w:rsidRDefault="004C3077">
            <w:pPr>
              <w:pStyle w:val="bmdsTblBody"/>
            </w:pPr>
            <w:proofErr w:type="spellStart"/>
            <w:r>
              <w:rPr>
                <w:b/>
              </w:rPr>
              <w:t>ephx1</w:t>
            </w:r>
            <w:proofErr w:type="spellEnd"/>
          </w:p>
        </w:tc>
        <w:tc>
          <w:tcPr>
            <w:tcW w:w="1325" w:type="dxa"/>
            <w:vAlign w:val="center"/>
            <w:hideMark/>
          </w:tcPr>
          <w:p w14:paraId="0A8D914E" w14:textId="77777777" w:rsidR="004C3077" w:rsidRDefault="004C3077">
            <w:pPr>
              <w:pStyle w:val="bmdsTblBody"/>
              <w:jc w:val="center"/>
            </w:pPr>
            <w:r>
              <w:rPr>
                <w:sz w:val="16"/>
              </w:rPr>
              <w:t>25315</w:t>
            </w:r>
          </w:p>
        </w:tc>
        <w:tc>
          <w:tcPr>
            <w:tcW w:w="1670" w:type="dxa"/>
            <w:vAlign w:val="center"/>
            <w:hideMark/>
          </w:tcPr>
          <w:p w14:paraId="740C1E72" w14:textId="77777777" w:rsidR="004C3077" w:rsidRDefault="004C3077">
            <w:pPr>
              <w:pStyle w:val="bmdsTblBody"/>
              <w:jc w:val="center"/>
            </w:pPr>
            <w:r>
              <w:rPr>
                <w:sz w:val="16"/>
              </w:rPr>
              <w:t>EPHX1_8567</w:t>
            </w:r>
          </w:p>
        </w:tc>
        <w:tc>
          <w:tcPr>
            <w:tcW w:w="1394" w:type="dxa"/>
            <w:vAlign w:val="center"/>
            <w:hideMark/>
          </w:tcPr>
          <w:p w14:paraId="0FF8F5B3" w14:textId="77777777" w:rsidR="004C3077" w:rsidRDefault="004C3077">
            <w:pPr>
              <w:pStyle w:val="bmdsTblBody"/>
              <w:jc w:val="center"/>
            </w:pPr>
            <w:r>
              <w:rPr>
                <w:sz w:val="16"/>
              </w:rPr>
              <w:t>24.878 (15.487-41.380)</w:t>
            </w:r>
          </w:p>
        </w:tc>
        <w:tc>
          <w:tcPr>
            <w:tcW w:w="1396" w:type="dxa"/>
            <w:vAlign w:val="center"/>
            <w:hideMark/>
          </w:tcPr>
          <w:p w14:paraId="5CF69849" w14:textId="77777777" w:rsidR="004C3077" w:rsidRDefault="004C3077">
            <w:pPr>
              <w:pStyle w:val="bmdsTblBody"/>
              <w:jc w:val="center"/>
            </w:pPr>
            <w:r>
              <w:rPr>
                <w:sz w:val="16"/>
              </w:rPr>
              <w:t>2.6</w:t>
            </w:r>
          </w:p>
        </w:tc>
        <w:tc>
          <w:tcPr>
            <w:tcW w:w="1441" w:type="dxa"/>
            <w:vAlign w:val="center"/>
            <w:hideMark/>
          </w:tcPr>
          <w:p w14:paraId="7B3D1490" w14:textId="77777777" w:rsidR="004C3077" w:rsidRDefault="004C3077">
            <w:pPr>
              <w:pStyle w:val="bmdsTblBody"/>
              <w:jc w:val="center"/>
            </w:pPr>
            <w:r>
              <w:rPr>
                <w:sz w:val="16"/>
              </w:rPr>
              <w:t>UP</w:t>
            </w:r>
          </w:p>
        </w:tc>
      </w:tr>
      <w:tr w:rsidR="004C3077" w14:paraId="430C0438" w14:textId="77777777" w:rsidTr="004C3077">
        <w:tc>
          <w:tcPr>
            <w:tcW w:w="2134" w:type="dxa"/>
            <w:tcBorders>
              <w:top w:val="nil"/>
              <w:left w:val="nil"/>
              <w:bottom w:val="single" w:sz="2" w:space="0" w:color="000000"/>
              <w:right w:val="nil"/>
            </w:tcBorders>
            <w:vAlign w:val="center"/>
            <w:hideMark/>
          </w:tcPr>
          <w:p w14:paraId="5EF3D69D" w14:textId="77777777" w:rsidR="004C3077" w:rsidRDefault="004C3077">
            <w:pPr>
              <w:pStyle w:val="bmdsTblBody"/>
            </w:pPr>
            <w:proofErr w:type="spellStart"/>
            <w:r>
              <w:rPr>
                <w:b/>
              </w:rPr>
              <w:t>loc100911558</w:t>
            </w:r>
            <w:proofErr w:type="spellEnd"/>
          </w:p>
        </w:tc>
        <w:tc>
          <w:tcPr>
            <w:tcW w:w="1325" w:type="dxa"/>
            <w:tcBorders>
              <w:top w:val="nil"/>
              <w:left w:val="nil"/>
              <w:bottom w:val="single" w:sz="2" w:space="0" w:color="000000"/>
              <w:right w:val="nil"/>
            </w:tcBorders>
            <w:vAlign w:val="center"/>
            <w:hideMark/>
          </w:tcPr>
          <w:p w14:paraId="4B7D289D" w14:textId="77777777" w:rsidR="004C3077" w:rsidRDefault="004C3077">
            <w:pPr>
              <w:pStyle w:val="bmdsTblBody"/>
              <w:jc w:val="center"/>
            </w:pPr>
            <w:r>
              <w:rPr>
                <w:sz w:val="16"/>
              </w:rPr>
              <w:t>100911558</w:t>
            </w:r>
          </w:p>
        </w:tc>
        <w:tc>
          <w:tcPr>
            <w:tcW w:w="1670" w:type="dxa"/>
            <w:tcBorders>
              <w:top w:val="nil"/>
              <w:left w:val="nil"/>
              <w:bottom w:val="single" w:sz="2" w:space="0" w:color="000000"/>
              <w:right w:val="nil"/>
            </w:tcBorders>
            <w:vAlign w:val="center"/>
            <w:hideMark/>
          </w:tcPr>
          <w:p w14:paraId="1B8BF83D" w14:textId="77777777" w:rsidR="004C3077" w:rsidRDefault="004C3077">
            <w:pPr>
              <w:pStyle w:val="bmdsTblBody"/>
              <w:jc w:val="center"/>
            </w:pPr>
            <w:r>
              <w:rPr>
                <w:sz w:val="16"/>
              </w:rPr>
              <w:t>SPINK1_32461</w:t>
            </w:r>
          </w:p>
        </w:tc>
        <w:tc>
          <w:tcPr>
            <w:tcW w:w="1394" w:type="dxa"/>
            <w:tcBorders>
              <w:top w:val="nil"/>
              <w:left w:val="nil"/>
              <w:bottom w:val="single" w:sz="2" w:space="0" w:color="000000"/>
              <w:right w:val="nil"/>
            </w:tcBorders>
            <w:vAlign w:val="center"/>
            <w:hideMark/>
          </w:tcPr>
          <w:p w14:paraId="63BEF088" w14:textId="77777777" w:rsidR="004C3077" w:rsidRDefault="004C3077">
            <w:pPr>
              <w:pStyle w:val="bmdsTblBody"/>
              <w:jc w:val="center"/>
            </w:pPr>
            <w:r>
              <w:rPr>
                <w:sz w:val="16"/>
              </w:rPr>
              <w:t>26.630 (12.428-61.587)</w:t>
            </w:r>
          </w:p>
        </w:tc>
        <w:tc>
          <w:tcPr>
            <w:tcW w:w="1396" w:type="dxa"/>
            <w:tcBorders>
              <w:top w:val="nil"/>
              <w:left w:val="nil"/>
              <w:bottom w:val="single" w:sz="2" w:space="0" w:color="000000"/>
              <w:right w:val="nil"/>
            </w:tcBorders>
            <w:vAlign w:val="center"/>
            <w:hideMark/>
          </w:tcPr>
          <w:p w14:paraId="2F1E9056" w14:textId="77777777" w:rsidR="004C3077" w:rsidRDefault="004C3077">
            <w:pPr>
              <w:pStyle w:val="bmdsTblBody"/>
              <w:jc w:val="center"/>
            </w:pPr>
            <w:r>
              <w:rPr>
                <w:sz w:val="16"/>
              </w:rPr>
              <w:t>2.0</w:t>
            </w:r>
          </w:p>
        </w:tc>
        <w:tc>
          <w:tcPr>
            <w:tcW w:w="1441" w:type="dxa"/>
            <w:tcBorders>
              <w:top w:val="nil"/>
              <w:left w:val="nil"/>
              <w:bottom w:val="single" w:sz="2" w:space="0" w:color="000000"/>
              <w:right w:val="nil"/>
            </w:tcBorders>
            <w:vAlign w:val="center"/>
            <w:hideMark/>
          </w:tcPr>
          <w:p w14:paraId="4294018B" w14:textId="77777777" w:rsidR="004C3077" w:rsidRDefault="004C3077">
            <w:pPr>
              <w:pStyle w:val="bmdsTblBody"/>
              <w:jc w:val="center"/>
            </w:pPr>
            <w:r>
              <w:rPr>
                <w:sz w:val="16"/>
              </w:rPr>
              <w:t>DOWN</w:t>
            </w:r>
          </w:p>
        </w:tc>
      </w:tr>
    </w:tbl>
    <w:p w14:paraId="3F0AA033" w14:textId="77777777" w:rsidR="004C3077" w:rsidRDefault="004C3077" w:rsidP="004C307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Descriptions of orthologous human genes are shown due to the increased detail that is available in public resources such as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t>
      </w:r>
      <w:hyperlink r:id="rId4" w:history="1">
        <w:r>
          <w:rPr>
            <w:rStyle w:val="Hyperlink"/>
            <w:rFonts w:ascii="Times New Roman" w:hAnsi="Times New Roman" w:cs="Times New Roman"/>
            <w:sz w:val="18"/>
            <w:szCs w:val="18"/>
          </w:rPr>
          <w:t>https://www.uniprot.org/uniprot/</w:t>
        </w:r>
      </w:hyperlink>
      <w:r>
        <w:rPr>
          <w:rFonts w:ascii="Times New Roman" w:hAnsi="Times New Roman" w:cs="Times New Roman"/>
          <w:color w:val="000000" w:themeColor="text1"/>
          <w:sz w:val="18"/>
          <w:szCs w:val="18"/>
        </w:rPr>
        <w:t>) and Entrez Gene (</w:t>
      </w:r>
      <w:hyperlink r:id="rId5" w:history="1">
        <w:r>
          <w:rPr>
            <w:rStyle w:val="Hyperlink"/>
            <w:rFonts w:ascii="Times New Roman" w:hAnsi="Times New Roman" w:cs="Times New Roman"/>
            <w:sz w:val="18"/>
            <w:szCs w:val="18"/>
          </w:rPr>
          <w:t>https://www.ncbi.nlm.nih.gov/gene/</w:t>
        </w:r>
      </w:hyperlink>
      <w:r>
        <w:rPr>
          <w:rFonts w:ascii="Times New Roman" w:hAnsi="Times New Roman" w:cs="Times New Roman"/>
          <w:color w:val="000000" w:themeColor="text1"/>
          <w:sz w:val="18"/>
          <w:szCs w:val="18"/>
        </w:rPr>
        <w:t xml:space="preserve">). Human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was used as primary resource due to the greater breadth of annotation and depth of functional detail that is provided. Rat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was used as the second resource if the primary source did not provide a detailed description of function. Human Entrez gene summary was used as third resource.  Rat Entrez gene summary was used as the fourth resource.</w:t>
      </w:r>
    </w:p>
    <w:p w14:paraId="15B0A5CA" w14:textId="69637AA9" w:rsidR="004C3077" w:rsidRDefault="004C3077" w:rsidP="004C3077">
      <w:pPr>
        <w:pStyle w:val="bmdsTblFootnote"/>
      </w:pPr>
      <w:r>
        <w:rPr>
          <w:b/>
        </w:rPr>
        <w:t>Gene definition version:</w:t>
      </w:r>
      <w:r>
        <w:t xml:space="preserve"> </w:t>
      </w:r>
      <w:r w:rsidR="00DE472E">
        <w:t>https://cebs.niehs.nih.gov/cebs/study/002-00600-0002-000-0</w:t>
      </w:r>
      <w:r>
        <w:t xml:space="preserve"> </w:t>
      </w:r>
      <w:proofErr w:type="spellStart"/>
      <w:r>
        <w:t>V052</w:t>
      </w:r>
      <w:r w:rsidR="00E214D5">
        <w:t>8</w:t>
      </w:r>
      <w:r>
        <w:t>2021</w:t>
      </w:r>
      <w:proofErr w:type="spellEnd"/>
    </w:p>
    <w:p w14:paraId="34D4E105" w14:textId="77777777" w:rsidR="004C3077" w:rsidRDefault="004C3077" w:rsidP="004C3077">
      <w:pPr>
        <w:pStyle w:val="bmdsTblFootnote"/>
      </w:pPr>
      <w:proofErr w:type="spellStart"/>
      <w:r>
        <w:rPr>
          <w:b/>
        </w:rPr>
        <w:t>Zfp354a</w:t>
      </w:r>
      <w:proofErr w:type="spellEnd"/>
      <w:r>
        <w:rPr>
          <w:b/>
        </w:rPr>
        <w:t>:</w:t>
      </w:r>
      <w:r>
        <w:rPr>
          <w:i/>
        </w:rPr>
        <w:t xml:space="preserve"> Rat </w:t>
      </w:r>
      <w:proofErr w:type="spellStart"/>
      <w:r>
        <w:rPr>
          <w:i/>
        </w:rPr>
        <w:t>Uniprot</w:t>
      </w:r>
      <w:proofErr w:type="spellEnd"/>
      <w:r>
        <w:rPr>
          <w:i/>
        </w:rPr>
        <w:t xml:space="preserve"> Function (Human ZNF354A):</w:t>
      </w:r>
      <w:r>
        <w:t xml:space="preserve"> It may play a role in renal development and may also be involved in the repair of the kidney after ischemia-reperfusion or folic acid administration.</w:t>
      </w:r>
    </w:p>
    <w:p w14:paraId="65C93DDA" w14:textId="77777777" w:rsidR="004C3077" w:rsidRDefault="004C3077" w:rsidP="004C3077">
      <w:pPr>
        <w:pStyle w:val="bmdsTblFootnote"/>
      </w:pPr>
      <w:proofErr w:type="spellStart"/>
      <w:r>
        <w:rPr>
          <w:b/>
        </w:rPr>
        <w:t>G0s2</w:t>
      </w:r>
      <w:proofErr w:type="spellEnd"/>
      <w:r>
        <w:rPr>
          <w:b/>
        </w:rPr>
        <w:t>:</w:t>
      </w:r>
      <w:r>
        <w:rPr>
          <w:i/>
        </w:rPr>
        <w:t xml:space="preserve"> Human </w:t>
      </w:r>
      <w:proofErr w:type="spellStart"/>
      <w:r>
        <w:rPr>
          <w:i/>
        </w:rPr>
        <w:t>Uniprot</w:t>
      </w:r>
      <w:proofErr w:type="spellEnd"/>
      <w:r>
        <w:rPr>
          <w:i/>
        </w:rPr>
        <w:t xml:space="preserve"> function (Human G0S2):</w:t>
      </w:r>
      <w:r>
        <w:t xml:space="preserve"> Promotes apoptosis by binding to BCL2, hence preventing the formation of protective BCL2-BAX heterodimers. {</w:t>
      </w:r>
      <w:proofErr w:type="spellStart"/>
      <w:r>
        <w:t>ECO0000269|PubMed19706769</w:t>
      </w:r>
      <w:proofErr w:type="spellEnd"/>
      <w:r>
        <w:t>}.</w:t>
      </w:r>
    </w:p>
    <w:p w14:paraId="7456C782" w14:textId="77777777" w:rsidR="004C3077" w:rsidRDefault="004C3077" w:rsidP="004C3077">
      <w:pPr>
        <w:pStyle w:val="bmdsTblFootnote"/>
      </w:pPr>
      <w:proofErr w:type="spellStart"/>
      <w:r>
        <w:rPr>
          <w:b/>
        </w:rPr>
        <w:t>Tsku</w:t>
      </w:r>
      <w:proofErr w:type="spellEnd"/>
      <w:r>
        <w:rPr>
          <w:b/>
        </w:rPr>
        <w:t>:</w:t>
      </w:r>
      <w:r>
        <w:rPr>
          <w:i/>
        </w:rPr>
        <w:t xml:space="preserve"> Human </w:t>
      </w:r>
      <w:proofErr w:type="spellStart"/>
      <w:r>
        <w:rPr>
          <w:i/>
        </w:rPr>
        <w:t>Uniprot</w:t>
      </w:r>
      <w:proofErr w:type="spellEnd"/>
      <w:r>
        <w:rPr>
          <w:i/>
        </w:rPr>
        <w:t xml:space="preserve"> function (Human TSKU):</w:t>
      </w:r>
      <w:r>
        <w:t xml:space="preserve"> Contributes to various developmental events and other processes such as wound healing and cholesterol homeostasis through its interactions with multiple signaling pathways. </w:t>
      </w:r>
      <w:proofErr w:type="spellStart"/>
      <w:r>
        <w:t>Wnt</w:t>
      </w:r>
      <w:proofErr w:type="spellEnd"/>
      <w:r>
        <w:t xml:space="preserve"> signaling inhibitor which competes with WNT2B for binding to </w:t>
      </w:r>
      <w:proofErr w:type="spellStart"/>
      <w:r>
        <w:t>Wnt</w:t>
      </w:r>
      <w:proofErr w:type="spellEnd"/>
      <w:r>
        <w:t xml:space="preserve"> receptor FZD4 and represses WNT2B-dependent development of the peripheral eye. Plays a role in regulating the hair cycle by controlling TGFB1 signaling. Required for the development of the anterior commissure in the brain by inhibiting neurite outgrowth. Essential for terminal differentiation of hippocampal neural stem cells. Plays a role in regulating bone elongation and bone mass by modulating growth plate chondrocyte function and overall body size. Required for development of the inner ear through its involvement in stereocilia formation in inner hair cells. Facilitates wound healing by inhibiting secretion of TGFB1 from macrophages which prevents myofibroblast differentiation, maintaining inflammatory cell quiescence. Plays a role in cholesterol homeostasis by reducing circulating high-density lipoprotein cholesterol, lowering cholesterol efflux </w:t>
      </w:r>
      <w:proofErr w:type="gramStart"/>
      <w:r>
        <w:t>capacity</w:t>
      </w:r>
      <w:proofErr w:type="gramEnd"/>
      <w:r>
        <w:t xml:space="preserve"> and decreasing cholesterol-to-bile acid conversion in the liver. In one study, shown to negatively regulate sympathetic innervation in brown fat, leading to reduced energy expenditure. In another study, shown not to affect brown fat thermogenic capacity, body weight gain or glucose homeostasis.</w:t>
      </w:r>
    </w:p>
    <w:p w14:paraId="4030B4F9" w14:textId="77777777" w:rsidR="004C3077" w:rsidRDefault="004C3077" w:rsidP="004C3077">
      <w:pPr>
        <w:pStyle w:val="bmdsTblFootnote"/>
      </w:pPr>
      <w:proofErr w:type="spellStart"/>
      <w:r>
        <w:rPr>
          <w:b/>
        </w:rPr>
        <w:t>Egr1</w:t>
      </w:r>
      <w:proofErr w:type="spellEnd"/>
      <w:r>
        <w:rPr>
          <w:b/>
        </w:rPr>
        <w:t>:</w:t>
      </w:r>
      <w:r>
        <w:rPr>
          <w:i/>
        </w:rPr>
        <w:t xml:space="preserve"> Human </w:t>
      </w:r>
      <w:proofErr w:type="spellStart"/>
      <w:r>
        <w:rPr>
          <w:i/>
        </w:rPr>
        <w:t>Uniprot</w:t>
      </w:r>
      <w:proofErr w:type="spellEnd"/>
      <w:r>
        <w:rPr>
          <w:i/>
        </w:rPr>
        <w:t xml:space="preserve"> function (Human EGR1):</w:t>
      </w:r>
      <w:r>
        <w:t xml:space="preserve"> Transcriptional regulator (</w:t>
      </w:r>
      <w:proofErr w:type="spellStart"/>
      <w:r>
        <w:t>PubMed20121949</w:t>
      </w:r>
      <w:proofErr w:type="spellEnd"/>
      <w:r>
        <w:t>). Recognizes and binds to the DNA sequence 5'-GCG(T/</w:t>
      </w:r>
      <w:proofErr w:type="gramStart"/>
      <w:r>
        <w:t>G)GGGCG</w:t>
      </w:r>
      <w:proofErr w:type="gramEnd"/>
      <w:r>
        <w:t>-3'(EGR-site) in the promoter region of target genes (By similarity). Binds double-stranded target DNA, irrespective of the cytosine methylation status (</w:t>
      </w:r>
      <w:proofErr w:type="spellStart"/>
      <w:r>
        <w:t>PubMed25258363</w:t>
      </w:r>
      <w:proofErr w:type="spellEnd"/>
      <w:r>
        <w:t xml:space="preserve">, </w:t>
      </w:r>
      <w:proofErr w:type="spellStart"/>
      <w:r>
        <w:t>PubMed25999311</w:t>
      </w:r>
      <w:proofErr w:type="spellEnd"/>
      <w:r>
        <w:t xml:space="preserve">). Regulates the transcription of numerous target genes, and thereby plays an important role in regulating the response to growth factors, DNA damage, and ischemia. Plays a role in the regulation of cell survival, </w:t>
      </w:r>
      <w:proofErr w:type="gramStart"/>
      <w:r>
        <w:t>proliferation</w:t>
      </w:r>
      <w:proofErr w:type="gramEnd"/>
      <w:r>
        <w:t xml:space="preserve"> and cell death. Activates expression of </w:t>
      </w:r>
      <w:proofErr w:type="spellStart"/>
      <w:r>
        <w:t>p53</w:t>
      </w:r>
      <w:proofErr w:type="spellEnd"/>
      <w:r>
        <w:t>/TP53 and TGFB1, and thereby helps prevent tumor formation. Required for normal progress through mitosis and normal proliferation of hepatocytes after partial hepatectomy. Mediates responses to ischemia and hypoxia; regulates the expression of proteins such as IL1B and CXCL2 that are involved in inflammatory processes and development of tissue damage after ischemia. Regulates biosynthesis of luteinizing hormone (LHB) in the pituitary (By similarity). Regulates the amplitude of the expression rhythms of clock genes ARNTL/BMAL1, PER2 and NR1D1 in the liver via the activation of PER1 (clock repressor) transcription. Regulates the rhythmic expression of core-clock gene ARNTL/BMAL1 in the suprachiasmatic nucleus (SCN) (By similarity). {</w:t>
      </w:r>
      <w:proofErr w:type="spellStart"/>
      <w:r>
        <w:t>ECO0000250|UniProtKBP08046</w:t>
      </w:r>
      <w:proofErr w:type="spellEnd"/>
      <w:r>
        <w:t xml:space="preserve">, </w:t>
      </w:r>
      <w:proofErr w:type="spellStart"/>
      <w:r>
        <w:t>ECO0000269|PubMed20121949</w:t>
      </w:r>
      <w:proofErr w:type="spellEnd"/>
      <w:r>
        <w:t xml:space="preserve">, </w:t>
      </w:r>
      <w:proofErr w:type="spellStart"/>
      <w:r>
        <w:t>ECO0000269|PubMed25258363</w:t>
      </w:r>
      <w:proofErr w:type="spellEnd"/>
      <w:r>
        <w:t xml:space="preserve">, </w:t>
      </w:r>
      <w:proofErr w:type="spellStart"/>
      <w:r>
        <w:t>ECO0000269|PubMed25999311</w:t>
      </w:r>
      <w:proofErr w:type="spellEnd"/>
      <w:r>
        <w:t>}.</w:t>
      </w:r>
    </w:p>
    <w:p w14:paraId="279B79EB" w14:textId="77777777" w:rsidR="004C3077" w:rsidRDefault="004C3077" w:rsidP="004C3077">
      <w:pPr>
        <w:pStyle w:val="bmdsTblFootnote"/>
      </w:pPr>
      <w:proofErr w:type="spellStart"/>
      <w:r>
        <w:rPr>
          <w:b/>
        </w:rPr>
        <w:t>C7</w:t>
      </w:r>
      <w:proofErr w:type="spellEnd"/>
      <w:r>
        <w:rPr>
          <w:b/>
        </w:rPr>
        <w:t>:</w:t>
      </w:r>
      <w:r>
        <w:rPr>
          <w:i/>
        </w:rPr>
        <w:t xml:space="preserve"> Human </w:t>
      </w:r>
      <w:proofErr w:type="spellStart"/>
      <w:r>
        <w:rPr>
          <w:i/>
        </w:rPr>
        <w:t>Uniprot</w:t>
      </w:r>
      <w:proofErr w:type="spellEnd"/>
      <w:r>
        <w:rPr>
          <w:i/>
        </w:rPr>
        <w:t xml:space="preserve"> function (Human </w:t>
      </w:r>
      <w:proofErr w:type="spellStart"/>
      <w:r>
        <w:rPr>
          <w:i/>
        </w:rPr>
        <w:t>C7</w:t>
      </w:r>
      <w:proofErr w:type="spellEnd"/>
      <w:r>
        <w:rPr>
          <w:i/>
        </w:rPr>
        <w:t>):</w:t>
      </w:r>
      <w:r>
        <w:t xml:space="preserve"> Constituent of the membrane attack complex (MAC) that plays a key role in the innate and adaptive immune response by forming pores in the plasma membrane of target cells. </w:t>
      </w:r>
      <w:proofErr w:type="spellStart"/>
      <w:r>
        <w:t>C7</w:t>
      </w:r>
      <w:proofErr w:type="spellEnd"/>
      <w:r>
        <w:t xml:space="preserve"> serves as a membrane anchor.</w:t>
      </w:r>
    </w:p>
    <w:p w14:paraId="12A0EE76" w14:textId="77777777" w:rsidR="004C3077" w:rsidRDefault="004C3077" w:rsidP="004C3077">
      <w:pPr>
        <w:pStyle w:val="bmdsTblFootnote"/>
      </w:pPr>
      <w:proofErr w:type="spellStart"/>
      <w:r>
        <w:rPr>
          <w:b/>
        </w:rPr>
        <w:t>Trib3</w:t>
      </w:r>
      <w:proofErr w:type="spellEnd"/>
      <w:r>
        <w:rPr>
          <w:b/>
        </w:rPr>
        <w:t>:</w:t>
      </w:r>
      <w:r>
        <w:rPr>
          <w:i/>
        </w:rPr>
        <w:t xml:space="preserve"> Human </w:t>
      </w:r>
      <w:proofErr w:type="spellStart"/>
      <w:r>
        <w:rPr>
          <w:i/>
        </w:rPr>
        <w:t>Uniprot</w:t>
      </w:r>
      <w:proofErr w:type="spellEnd"/>
      <w:r>
        <w:rPr>
          <w:i/>
        </w:rPr>
        <w:t xml:space="preserve"> function (Human TRIB3):</w:t>
      </w:r>
      <w:r>
        <w:t xml:space="preserve"> Inactive protein kinase which acts as a regulator of the integrated stress response (ISR), a process for adaptation to various stress (</w:t>
      </w:r>
      <w:proofErr w:type="spellStart"/>
      <w:r>
        <w:t>PubMed15781252</w:t>
      </w:r>
      <w:proofErr w:type="spellEnd"/>
      <w:r>
        <w:t xml:space="preserve">, </w:t>
      </w:r>
      <w:proofErr w:type="spellStart"/>
      <w:r>
        <w:t>PubMed15775988</w:t>
      </w:r>
      <w:proofErr w:type="spellEnd"/>
      <w:r>
        <w:t xml:space="preserve">). Inhibits the transcriptional </w:t>
      </w:r>
      <w:r>
        <w:lastRenderedPageBreak/>
        <w:t>activity of DDIT3/CHOP and is involved in DDIT3/CHOP-dependent cell death during ER stress (</w:t>
      </w:r>
      <w:proofErr w:type="spellStart"/>
      <w:r>
        <w:t>PubMed15781252</w:t>
      </w:r>
      <w:proofErr w:type="spellEnd"/>
      <w:r>
        <w:t xml:space="preserve">, </w:t>
      </w:r>
      <w:proofErr w:type="spellStart"/>
      <w:r>
        <w:t>PubMed15775988</w:t>
      </w:r>
      <w:proofErr w:type="spellEnd"/>
      <w:r>
        <w:t>). May play a role in programmed neuronal cell death but does not appear to affect non-neuronal cells (</w:t>
      </w:r>
      <w:proofErr w:type="spellStart"/>
      <w:r>
        <w:t>PubMed15781252</w:t>
      </w:r>
      <w:proofErr w:type="spellEnd"/>
      <w:r>
        <w:t xml:space="preserve">, </w:t>
      </w:r>
      <w:proofErr w:type="spellStart"/>
      <w:r>
        <w:t>PubMed15775988</w:t>
      </w:r>
      <w:proofErr w:type="spellEnd"/>
      <w:r>
        <w:t>). Acts as a negative feedback regulator of the ATF4-dependent transcription during the ISR while TRIB3 expression is promoted by ATF4, TRIB3 protein interacts with ATF4 and inhibits ATF4 transcription activity (By similarity). Disrupts insulin signaling by binding directly to Akt kinases and blocking their activation (By similarity). May bind directly to and mask the '</w:t>
      </w:r>
      <w:proofErr w:type="spellStart"/>
      <w:r>
        <w:t>Thr</w:t>
      </w:r>
      <w:proofErr w:type="spellEnd"/>
      <w:r>
        <w:t xml:space="preserve">-308' phosphorylation site in AKT1 (By similarity). Interacts with the NF-kappa-B </w:t>
      </w:r>
      <w:proofErr w:type="spellStart"/>
      <w:r>
        <w:t>transactivator</w:t>
      </w:r>
      <w:proofErr w:type="spellEnd"/>
      <w:r>
        <w:t xml:space="preserve"> </w:t>
      </w:r>
      <w:proofErr w:type="spellStart"/>
      <w:r>
        <w:t>p65</w:t>
      </w:r>
      <w:proofErr w:type="spellEnd"/>
      <w:r>
        <w:t xml:space="preserve"> RELA and inhibits its phosphorylation and thus its transcriptional activation activity (</w:t>
      </w:r>
      <w:proofErr w:type="spellStart"/>
      <w:r>
        <w:t>PubMed12736262</w:t>
      </w:r>
      <w:proofErr w:type="spellEnd"/>
      <w:r>
        <w:t>). Interacts with MAPK kinases and regulates activation of MAP kinases (</w:t>
      </w:r>
      <w:proofErr w:type="spellStart"/>
      <w:r>
        <w:t>PubMed15299019</w:t>
      </w:r>
      <w:proofErr w:type="spellEnd"/>
      <w:r>
        <w:t>). Can inhibit APOBEC3A editing of nuclear DNA (</w:t>
      </w:r>
      <w:proofErr w:type="spellStart"/>
      <w:r>
        <w:t>PubMed22977230</w:t>
      </w:r>
      <w:proofErr w:type="spellEnd"/>
      <w:r>
        <w:t>). {</w:t>
      </w:r>
      <w:proofErr w:type="spellStart"/>
      <w:r>
        <w:t>ECO0000250|UniProtKBQ8K4K2</w:t>
      </w:r>
      <w:proofErr w:type="spellEnd"/>
      <w:r>
        <w:t xml:space="preserve">, </w:t>
      </w:r>
      <w:proofErr w:type="spellStart"/>
      <w:r>
        <w:t>ECO0000269|PubMed12736262</w:t>
      </w:r>
      <w:proofErr w:type="spellEnd"/>
      <w:r>
        <w:t xml:space="preserve">, </w:t>
      </w:r>
      <w:proofErr w:type="spellStart"/>
      <w:r>
        <w:t>ECO0000269|PubMed15299019</w:t>
      </w:r>
      <w:proofErr w:type="spellEnd"/>
      <w:r>
        <w:t xml:space="preserve">, </w:t>
      </w:r>
      <w:proofErr w:type="spellStart"/>
      <w:r>
        <w:t>ECO0000269|PubMed15775988</w:t>
      </w:r>
      <w:proofErr w:type="spellEnd"/>
      <w:r>
        <w:t xml:space="preserve">, </w:t>
      </w:r>
      <w:proofErr w:type="spellStart"/>
      <w:r>
        <w:t>ECO0000269|PubMed15781252</w:t>
      </w:r>
      <w:proofErr w:type="spellEnd"/>
      <w:r>
        <w:t xml:space="preserve">, </w:t>
      </w:r>
      <w:proofErr w:type="spellStart"/>
      <w:r>
        <w:t>ECO0000269|PubMed22977230</w:t>
      </w:r>
      <w:proofErr w:type="spellEnd"/>
      <w:r>
        <w:t>}.</w:t>
      </w:r>
    </w:p>
    <w:p w14:paraId="42E8E049" w14:textId="77777777" w:rsidR="004C3077" w:rsidRDefault="004C3077" w:rsidP="004C3077">
      <w:pPr>
        <w:pStyle w:val="bmdsTblFootnote"/>
      </w:pPr>
      <w:proofErr w:type="spellStart"/>
      <w:r>
        <w:rPr>
          <w:b/>
        </w:rPr>
        <w:t>Akr7a3</w:t>
      </w:r>
      <w:proofErr w:type="spellEnd"/>
      <w:r>
        <w:rPr>
          <w:b/>
        </w:rPr>
        <w:t>:</w:t>
      </w:r>
      <w:r>
        <w:rPr>
          <w:i/>
        </w:rPr>
        <w:t xml:space="preserve"> Human </w:t>
      </w:r>
      <w:proofErr w:type="spellStart"/>
      <w:r>
        <w:rPr>
          <w:i/>
        </w:rPr>
        <w:t>Uniprot</w:t>
      </w:r>
      <w:proofErr w:type="spellEnd"/>
      <w:r>
        <w:rPr>
          <w:i/>
        </w:rPr>
        <w:t xml:space="preserve"> function (Human AKR7A3):</w:t>
      </w:r>
      <w:r>
        <w:t xml:space="preserve"> Can reduce the dialdehyde protein-binding form of aflatoxin </w:t>
      </w:r>
      <w:proofErr w:type="spellStart"/>
      <w:r>
        <w:t>B1</w:t>
      </w:r>
      <w:proofErr w:type="spellEnd"/>
      <w:r>
        <w:t xml:space="preserve"> (AFB1) to the non-binding AFB1 </w:t>
      </w:r>
      <w:proofErr w:type="spellStart"/>
      <w:r>
        <w:t>dialcohol</w:t>
      </w:r>
      <w:proofErr w:type="spellEnd"/>
      <w:r>
        <w:t>. May be involved in protection of liver against the toxic and carcinogenic effects of AFB1, a potent hepatocarcinogen. {</w:t>
      </w:r>
      <w:proofErr w:type="spellStart"/>
      <w:r>
        <w:t>ECO0000269|PubMed18416522</w:t>
      </w:r>
      <w:proofErr w:type="spellEnd"/>
      <w:r>
        <w:t>}.</w:t>
      </w:r>
    </w:p>
    <w:p w14:paraId="7AF12BEE" w14:textId="77777777" w:rsidR="004C3077" w:rsidRDefault="004C3077" w:rsidP="004C3077">
      <w:pPr>
        <w:pStyle w:val="bmdsTblFootnote"/>
      </w:pPr>
      <w:proofErr w:type="spellStart"/>
      <w:r>
        <w:rPr>
          <w:b/>
        </w:rPr>
        <w:t>Nqo1</w:t>
      </w:r>
      <w:proofErr w:type="spellEnd"/>
      <w:r>
        <w:rPr>
          <w:b/>
        </w:rPr>
        <w:t>:</w:t>
      </w:r>
      <w:r>
        <w:rPr>
          <w:i/>
        </w:rPr>
        <w:t xml:space="preserve"> Human </w:t>
      </w:r>
      <w:proofErr w:type="spellStart"/>
      <w:r>
        <w:rPr>
          <w:i/>
        </w:rPr>
        <w:t>Uniprot</w:t>
      </w:r>
      <w:proofErr w:type="spellEnd"/>
      <w:r>
        <w:rPr>
          <w:i/>
        </w:rPr>
        <w:t xml:space="preserve"> function (Human NQO1):</w:t>
      </w:r>
      <w:r>
        <w:t xml:space="preserve"> The enzyme apparently serves as a quinone reductase in connection with conjugation reactions of </w:t>
      </w:r>
      <w:proofErr w:type="spellStart"/>
      <w:r>
        <w:t>hydroquinons</w:t>
      </w:r>
      <w:proofErr w:type="spellEnd"/>
      <w:r>
        <w:t xml:space="preserve"> involved in detoxification pathways as well as in biosynthetic processes such as the vitamin K-dependent gamma-carboxylation of glutamate residues in prothrombin synthesis.</w:t>
      </w:r>
    </w:p>
    <w:p w14:paraId="112F3A62" w14:textId="77777777" w:rsidR="004C3077" w:rsidRDefault="004C3077" w:rsidP="004C3077">
      <w:pPr>
        <w:pStyle w:val="bmdsTblFootnote"/>
      </w:pPr>
      <w:proofErr w:type="spellStart"/>
      <w:r>
        <w:rPr>
          <w:b/>
        </w:rPr>
        <w:t>Ephx1</w:t>
      </w:r>
      <w:proofErr w:type="spellEnd"/>
      <w:r>
        <w:rPr>
          <w:b/>
        </w:rPr>
        <w:t>:</w:t>
      </w:r>
      <w:r>
        <w:rPr>
          <w:i/>
        </w:rPr>
        <w:t xml:space="preserve"> Human </w:t>
      </w:r>
      <w:proofErr w:type="spellStart"/>
      <w:r>
        <w:rPr>
          <w:i/>
        </w:rPr>
        <w:t>Uniprot</w:t>
      </w:r>
      <w:proofErr w:type="spellEnd"/>
      <w:r>
        <w:rPr>
          <w:i/>
        </w:rPr>
        <w:t xml:space="preserve"> function (Human EPHX1):</w:t>
      </w:r>
      <w:r>
        <w:t xml:space="preserve"> Biotransformation enzyme that catalyzes the hydrolysis of arene and aliphatic epoxides to less reactive and more water soluble </w:t>
      </w:r>
      <w:proofErr w:type="spellStart"/>
      <w:r>
        <w:t>dihydrodiols</w:t>
      </w:r>
      <w:proofErr w:type="spellEnd"/>
      <w:r>
        <w:t xml:space="preserve"> by the trans addition of water (By similarity). Plays a role in the metabolism of endogenous lipids such as epoxide-containing fatty acids (</w:t>
      </w:r>
      <w:proofErr w:type="spellStart"/>
      <w:r>
        <w:t>PubMed22798687</w:t>
      </w:r>
      <w:proofErr w:type="spellEnd"/>
      <w:r>
        <w:t>). Metabolizes the abundant endocannabinoid 2-</w:t>
      </w:r>
      <w:proofErr w:type="spellStart"/>
      <w:r>
        <w:t>arachidonoylglycerol</w:t>
      </w:r>
      <w:proofErr w:type="spellEnd"/>
      <w:r>
        <w:t xml:space="preserve"> (2-AG) to free arachidonic acid (AA) and glycerol (</w:t>
      </w:r>
      <w:proofErr w:type="spellStart"/>
      <w:r>
        <w:t>PubMed24958911</w:t>
      </w:r>
      <w:proofErr w:type="spellEnd"/>
      <w:r>
        <w:t>). {</w:t>
      </w:r>
      <w:proofErr w:type="spellStart"/>
      <w:r>
        <w:t>ECO0000250|UniProtKBP07687</w:t>
      </w:r>
      <w:proofErr w:type="spellEnd"/>
      <w:r>
        <w:t xml:space="preserve">, </w:t>
      </w:r>
      <w:proofErr w:type="spellStart"/>
      <w:r>
        <w:t>ECO0000269|PubMed22798687</w:t>
      </w:r>
      <w:proofErr w:type="spellEnd"/>
      <w:r>
        <w:t xml:space="preserve">, </w:t>
      </w:r>
      <w:proofErr w:type="spellStart"/>
      <w:r>
        <w:t>ECO0000269|PubMed24958911</w:t>
      </w:r>
      <w:proofErr w:type="spellEnd"/>
      <w:r>
        <w:t>}.</w:t>
      </w:r>
    </w:p>
    <w:p w14:paraId="5BDF6AE3" w14:textId="77777777" w:rsidR="004C3077" w:rsidRDefault="004C3077" w:rsidP="004C3077">
      <w:pPr>
        <w:pStyle w:val="bmdsTblFootnote"/>
      </w:pPr>
      <w:r>
        <w:rPr>
          <w:b/>
        </w:rPr>
        <w:t>LOC100911558:</w:t>
      </w:r>
      <w:r>
        <w:rPr>
          <w:i/>
        </w:rPr>
        <w:t xml:space="preserve"> Human </w:t>
      </w:r>
      <w:proofErr w:type="spellStart"/>
      <w:r>
        <w:rPr>
          <w:i/>
        </w:rPr>
        <w:t>Uniprot</w:t>
      </w:r>
      <w:proofErr w:type="spellEnd"/>
      <w:r>
        <w:rPr>
          <w:i/>
        </w:rPr>
        <w:t xml:space="preserve"> function (Human SPINK1):</w:t>
      </w:r>
      <w:r>
        <w:t xml:space="preserve"> Serine protease inhibitor which exhibits anti-trypsin activity (</w:t>
      </w:r>
      <w:proofErr w:type="spellStart"/>
      <w:r>
        <w:t>PubMed7142173</w:t>
      </w:r>
      <w:proofErr w:type="spellEnd"/>
      <w:r>
        <w:t>). In the pancreas, protects against trypsin-catalyzed premature activation of zymogens (By similarity). {</w:t>
      </w:r>
      <w:proofErr w:type="spellStart"/>
      <w:r>
        <w:t>ECO0000250|UniProtKBP09036</w:t>
      </w:r>
      <w:proofErr w:type="spellEnd"/>
      <w:r>
        <w:t xml:space="preserve">, </w:t>
      </w:r>
      <w:proofErr w:type="spellStart"/>
      <w:r>
        <w:t>ECO0000269|PubMed7142173</w:t>
      </w:r>
      <w:proofErr w:type="spellEnd"/>
      <w:r>
        <w:t>}.; FUNCTION In the male reproductive tract, binds to sperm heads where it modulates sperm capacitance by inhibiting calcium uptake and nitrogen oxide (NO) production. {</w:t>
      </w:r>
      <w:proofErr w:type="spellStart"/>
      <w:r>
        <w:t>ECO0000250|UniProtKBP09036</w:t>
      </w:r>
      <w:proofErr w:type="spellEnd"/>
      <w:r>
        <w:t>}.</w:t>
      </w:r>
    </w:p>
    <w:p w14:paraId="25146387" w14:textId="77777777" w:rsidR="004C3077" w:rsidRDefault="004C3077" w:rsidP="004C3077">
      <w:pPr>
        <w:pStyle w:val="bmdsTblFootnote"/>
      </w:pPr>
      <w:r>
        <w:br w:type="page"/>
      </w:r>
    </w:p>
    <w:p w14:paraId="1A3AFC73" w14:textId="77777777" w:rsidR="004C3077" w:rsidRDefault="004C3077" w:rsidP="004C3077">
      <w:pPr>
        <w:pStyle w:val="Heading3"/>
      </w:pPr>
      <w:r>
        <w:lastRenderedPageBreak/>
        <w:t>Female Liver Top 10 Genes Ranked by Potency of Perturbation (Sorted by BMD Median)</w:t>
      </w:r>
    </w:p>
    <w:tbl>
      <w:tblPr>
        <w:tblW w:w="0" w:type="auto"/>
        <w:tblLook w:val="04A0" w:firstRow="1" w:lastRow="0" w:firstColumn="1" w:lastColumn="0" w:noHBand="0" w:noVBand="1"/>
      </w:tblPr>
      <w:tblGrid>
        <w:gridCol w:w="2188"/>
        <w:gridCol w:w="1348"/>
        <w:gridCol w:w="1527"/>
        <w:gridCol w:w="1416"/>
        <w:gridCol w:w="1418"/>
        <w:gridCol w:w="1463"/>
      </w:tblGrid>
      <w:tr w:rsidR="004C3077" w14:paraId="75D5BEC8" w14:textId="77777777" w:rsidTr="004C3077">
        <w:tc>
          <w:tcPr>
            <w:tcW w:w="2188" w:type="dxa"/>
            <w:tcBorders>
              <w:top w:val="single" w:sz="2" w:space="0" w:color="000000"/>
              <w:left w:val="nil"/>
              <w:bottom w:val="single" w:sz="2" w:space="0" w:color="000000"/>
              <w:right w:val="nil"/>
            </w:tcBorders>
            <w:vAlign w:val="center"/>
            <w:hideMark/>
          </w:tcPr>
          <w:p w14:paraId="63F3896A" w14:textId="77777777" w:rsidR="004C3077" w:rsidRDefault="004C3077">
            <w:pPr>
              <w:pStyle w:val="bmdsTblBody"/>
            </w:pPr>
            <w:r>
              <w:rPr>
                <w:b/>
              </w:rPr>
              <w:t>Gene Symbol</w:t>
            </w:r>
          </w:p>
        </w:tc>
        <w:tc>
          <w:tcPr>
            <w:tcW w:w="1348" w:type="dxa"/>
            <w:tcBorders>
              <w:top w:val="single" w:sz="2" w:space="0" w:color="000000"/>
              <w:left w:val="nil"/>
              <w:bottom w:val="single" w:sz="2" w:space="0" w:color="000000"/>
              <w:right w:val="nil"/>
            </w:tcBorders>
            <w:vAlign w:val="center"/>
            <w:hideMark/>
          </w:tcPr>
          <w:p w14:paraId="10EB85D9" w14:textId="77777777" w:rsidR="004C3077" w:rsidRDefault="004C3077">
            <w:pPr>
              <w:pStyle w:val="bmdsTblHeader"/>
              <w:jc w:val="center"/>
            </w:pPr>
            <w:r>
              <w:t>Entrez Gene IDs</w:t>
            </w:r>
          </w:p>
        </w:tc>
        <w:tc>
          <w:tcPr>
            <w:tcW w:w="1527" w:type="dxa"/>
            <w:tcBorders>
              <w:top w:val="single" w:sz="2" w:space="0" w:color="000000"/>
              <w:left w:val="nil"/>
              <w:bottom w:val="single" w:sz="2" w:space="0" w:color="000000"/>
              <w:right w:val="nil"/>
            </w:tcBorders>
            <w:vAlign w:val="center"/>
            <w:hideMark/>
          </w:tcPr>
          <w:p w14:paraId="367A7D3F" w14:textId="77777777" w:rsidR="004C3077" w:rsidRDefault="004C3077">
            <w:pPr>
              <w:pStyle w:val="bmdsTblHeader"/>
              <w:jc w:val="center"/>
            </w:pPr>
            <w:r>
              <w:t>Probe IDs</w:t>
            </w:r>
          </w:p>
        </w:tc>
        <w:tc>
          <w:tcPr>
            <w:tcW w:w="1416" w:type="dxa"/>
            <w:tcBorders>
              <w:top w:val="single" w:sz="2" w:space="0" w:color="000000"/>
              <w:left w:val="nil"/>
              <w:bottom w:val="single" w:sz="2" w:space="0" w:color="000000"/>
              <w:right w:val="nil"/>
            </w:tcBorders>
            <w:vAlign w:val="center"/>
            <w:hideMark/>
          </w:tcPr>
          <w:p w14:paraId="1423A232" w14:textId="77777777" w:rsidR="004C3077" w:rsidRDefault="004C3077">
            <w:pPr>
              <w:pStyle w:val="bmdsTblHeader"/>
              <w:jc w:val="center"/>
            </w:pPr>
            <w:proofErr w:type="spellStart"/>
            <w:r>
              <w:t>BMD</w:t>
            </w:r>
            <w:r>
              <w:rPr>
                <w:sz w:val="16"/>
                <w:vertAlign w:val="subscript"/>
              </w:rPr>
              <w:t>1Std</w:t>
            </w:r>
            <w:proofErr w:type="spellEnd"/>
            <w:r>
              <w:t xml:space="preserve"> (</w:t>
            </w:r>
            <w:proofErr w:type="spellStart"/>
            <w:r>
              <w:t>BMD</w:t>
            </w:r>
            <w:r>
              <w:rPr>
                <w:vertAlign w:val="subscript"/>
              </w:rPr>
              <w:t>L</w:t>
            </w:r>
            <w:r>
              <w:rPr>
                <w:sz w:val="16"/>
                <w:vertAlign w:val="subscript"/>
              </w:rPr>
              <w:t>1std</w:t>
            </w:r>
            <w:r>
              <w:t>-BMD</w:t>
            </w:r>
            <w:r>
              <w:rPr>
                <w:vertAlign w:val="subscript"/>
              </w:rPr>
              <w:t>U1std</w:t>
            </w:r>
            <w:proofErr w:type="spellEnd"/>
            <w:r>
              <w:t>) in mg/kg</w:t>
            </w:r>
          </w:p>
        </w:tc>
        <w:tc>
          <w:tcPr>
            <w:tcW w:w="1418" w:type="dxa"/>
            <w:tcBorders>
              <w:top w:val="single" w:sz="2" w:space="0" w:color="000000"/>
              <w:left w:val="nil"/>
              <w:bottom w:val="single" w:sz="2" w:space="0" w:color="000000"/>
              <w:right w:val="nil"/>
            </w:tcBorders>
            <w:vAlign w:val="center"/>
            <w:hideMark/>
          </w:tcPr>
          <w:p w14:paraId="36121681" w14:textId="77777777" w:rsidR="004C3077" w:rsidRDefault="004C3077">
            <w:pPr>
              <w:pStyle w:val="bmdsTblHeader"/>
              <w:jc w:val="center"/>
            </w:pPr>
            <w:r>
              <w:t>Maximum Fold Change</w:t>
            </w:r>
          </w:p>
        </w:tc>
        <w:tc>
          <w:tcPr>
            <w:tcW w:w="1463" w:type="dxa"/>
            <w:tcBorders>
              <w:top w:val="single" w:sz="2" w:space="0" w:color="000000"/>
              <w:left w:val="nil"/>
              <w:bottom w:val="single" w:sz="2" w:space="0" w:color="000000"/>
              <w:right w:val="nil"/>
            </w:tcBorders>
            <w:vAlign w:val="center"/>
            <w:hideMark/>
          </w:tcPr>
          <w:p w14:paraId="6EF6317F" w14:textId="77777777" w:rsidR="004C3077" w:rsidRDefault="004C3077">
            <w:pPr>
              <w:pStyle w:val="bmdsTblHeader"/>
              <w:jc w:val="center"/>
            </w:pPr>
            <w:r>
              <w:t>Direction of Expression Change</w:t>
            </w:r>
          </w:p>
        </w:tc>
      </w:tr>
      <w:tr w:rsidR="004C3077" w14:paraId="1F8A9850" w14:textId="77777777" w:rsidTr="004C3077">
        <w:tc>
          <w:tcPr>
            <w:tcW w:w="2188" w:type="dxa"/>
            <w:vAlign w:val="center"/>
            <w:hideMark/>
          </w:tcPr>
          <w:p w14:paraId="2405035B" w14:textId="77777777" w:rsidR="004C3077" w:rsidRDefault="004C3077">
            <w:pPr>
              <w:pStyle w:val="bmdsTblBody"/>
            </w:pPr>
            <w:proofErr w:type="spellStart"/>
            <w:r>
              <w:rPr>
                <w:b/>
              </w:rPr>
              <w:t>kif22</w:t>
            </w:r>
            <w:proofErr w:type="spellEnd"/>
          </w:p>
        </w:tc>
        <w:tc>
          <w:tcPr>
            <w:tcW w:w="1348" w:type="dxa"/>
            <w:vAlign w:val="center"/>
            <w:hideMark/>
          </w:tcPr>
          <w:p w14:paraId="6F5E87E8" w14:textId="77777777" w:rsidR="004C3077" w:rsidRDefault="004C3077">
            <w:pPr>
              <w:pStyle w:val="bmdsTblBody"/>
              <w:jc w:val="center"/>
            </w:pPr>
            <w:r>
              <w:rPr>
                <w:sz w:val="16"/>
              </w:rPr>
              <w:t>293502</w:t>
            </w:r>
          </w:p>
        </w:tc>
        <w:tc>
          <w:tcPr>
            <w:tcW w:w="1527" w:type="dxa"/>
            <w:vAlign w:val="center"/>
            <w:hideMark/>
          </w:tcPr>
          <w:p w14:paraId="1890C4EC" w14:textId="77777777" w:rsidR="004C3077" w:rsidRDefault="004C3077">
            <w:pPr>
              <w:pStyle w:val="bmdsTblBody"/>
              <w:jc w:val="center"/>
            </w:pPr>
            <w:r>
              <w:rPr>
                <w:sz w:val="16"/>
              </w:rPr>
              <w:t>KIF22_8963</w:t>
            </w:r>
          </w:p>
        </w:tc>
        <w:tc>
          <w:tcPr>
            <w:tcW w:w="1416" w:type="dxa"/>
            <w:vAlign w:val="center"/>
            <w:hideMark/>
          </w:tcPr>
          <w:p w14:paraId="04DF4C1C" w14:textId="77777777" w:rsidR="004C3077" w:rsidRDefault="004C3077">
            <w:pPr>
              <w:pStyle w:val="bmdsTblBody"/>
              <w:jc w:val="center"/>
            </w:pPr>
            <w:r>
              <w:rPr>
                <w:sz w:val="16"/>
              </w:rPr>
              <w:t>0.962 (0.282-4.473)</w:t>
            </w:r>
          </w:p>
        </w:tc>
        <w:tc>
          <w:tcPr>
            <w:tcW w:w="1418" w:type="dxa"/>
            <w:vAlign w:val="center"/>
            <w:hideMark/>
          </w:tcPr>
          <w:p w14:paraId="05776E65" w14:textId="77777777" w:rsidR="004C3077" w:rsidRDefault="004C3077">
            <w:pPr>
              <w:pStyle w:val="bmdsTblBody"/>
              <w:jc w:val="center"/>
            </w:pPr>
            <w:r>
              <w:rPr>
                <w:sz w:val="16"/>
              </w:rPr>
              <w:t>2.1</w:t>
            </w:r>
          </w:p>
        </w:tc>
        <w:tc>
          <w:tcPr>
            <w:tcW w:w="1463" w:type="dxa"/>
            <w:vAlign w:val="center"/>
            <w:hideMark/>
          </w:tcPr>
          <w:p w14:paraId="51D2D036" w14:textId="77777777" w:rsidR="004C3077" w:rsidRDefault="004C3077">
            <w:pPr>
              <w:pStyle w:val="bmdsTblBody"/>
              <w:jc w:val="center"/>
            </w:pPr>
            <w:r>
              <w:rPr>
                <w:sz w:val="16"/>
              </w:rPr>
              <w:t>UP</w:t>
            </w:r>
          </w:p>
        </w:tc>
      </w:tr>
      <w:tr w:rsidR="004C3077" w14:paraId="136CEC8E" w14:textId="77777777" w:rsidTr="004C3077">
        <w:tc>
          <w:tcPr>
            <w:tcW w:w="2188" w:type="dxa"/>
            <w:vAlign w:val="center"/>
            <w:hideMark/>
          </w:tcPr>
          <w:p w14:paraId="2301EFBC" w14:textId="77777777" w:rsidR="004C3077" w:rsidRDefault="004C3077">
            <w:pPr>
              <w:pStyle w:val="bmdsTblBody"/>
            </w:pPr>
            <w:proofErr w:type="spellStart"/>
            <w:r>
              <w:rPr>
                <w:b/>
              </w:rPr>
              <w:t>anln</w:t>
            </w:r>
            <w:proofErr w:type="spellEnd"/>
          </w:p>
        </w:tc>
        <w:tc>
          <w:tcPr>
            <w:tcW w:w="1348" w:type="dxa"/>
            <w:vAlign w:val="center"/>
            <w:hideMark/>
          </w:tcPr>
          <w:p w14:paraId="1C56BB64" w14:textId="77777777" w:rsidR="004C3077" w:rsidRDefault="004C3077">
            <w:pPr>
              <w:pStyle w:val="bmdsTblBody"/>
              <w:jc w:val="center"/>
            </w:pPr>
            <w:r>
              <w:rPr>
                <w:sz w:val="16"/>
              </w:rPr>
              <w:t>363031</w:t>
            </w:r>
          </w:p>
        </w:tc>
        <w:tc>
          <w:tcPr>
            <w:tcW w:w="1527" w:type="dxa"/>
            <w:vAlign w:val="center"/>
            <w:hideMark/>
          </w:tcPr>
          <w:p w14:paraId="465FB8BB" w14:textId="77777777" w:rsidR="004C3077" w:rsidRDefault="004C3077">
            <w:pPr>
              <w:pStyle w:val="bmdsTblBody"/>
              <w:jc w:val="center"/>
            </w:pPr>
            <w:r>
              <w:rPr>
                <w:sz w:val="16"/>
              </w:rPr>
              <w:t>ANLN_32599</w:t>
            </w:r>
          </w:p>
        </w:tc>
        <w:tc>
          <w:tcPr>
            <w:tcW w:w="1416" w:type="dxa"/>
            <w:vAlign w:val="center"/>
            <w:hideMark/>
          </w:tcPr>
          <w:p w14:paraId="613EA9C2" w14:textId="77777777" w:rsidR="004C3077" w:rsidRDefault="004C3077">
            <w:pPr>
              <w:pStyle w:val="bmdsTblBody"/>
              <w:jc w:val="center"/>
            </w:pPr>
            <w:r>
              <w:rPr>
                <w:sz w:val="16"/>
              </w:rPr>
              <w:t>3.325 (1.105-12.281)</w:t>
            </w:r>
          </w:p>
        </w:tc>
        <w:tc>
          <w:tcPr>
            <w:tcW w:w="1418" w:type="dxa"/>
            <w:vAlign w:val="center"/>
            <w:hideMark/>
          </w:tcPr>
          <w:p w14:paraId="3C0370C9" w14:textId="77777777" w:rsidR="004C3077" w:rsidRDefault="004C3077">
            <w:pPr>
              <w:pStyle w:val="bmdsTblBody"/>
              <w:jc w:val="center"/>
            </w:pPr>
            <w:r>
              <w:rPr>
                <w:sz w:val="16"/>
              </w:rPr>
              <w:t>2.1</w:t>
            </w:r>
          </w:p>
        </w:tc>
        <w:tc>
          <w:tcPr>
            <w:tcW w:w="1463" w:type="dxa"/>
            <w:vAlign w:val="center"/>
            <w:hideMark/>
          </w:tcPr>
          <w:p w14:paraId="6B0AABC7" w14:textId="77777777" w:rsidR="004C3077" w:rsidRDefault="004C3077">
            <w:pPr>
              <w:pStyle w:val="bmdsTblBody"/>
              <w:jc w:val="center"/>
            </w:pPr>
            <w:r>
              <w:rPr>
                <w:sz w:val="16"/>
              </w:rPr>
              <w:t>UP</w:t>
            </w:r>
          </w:p>
        </w:tc>
      </w:tr>
      <w:tr w:rsidR="004C3077" w14:paraId="47F338ED" w14:textId="77777777" w:rsidTr="004C3077">
        <w:tc>
          <w:tcPr>
            <w:tcW w:w="2188" w:type="dxa"/>
            <w:vAlign w:val="center"/>
            <w:hideMark/>
          </w:tcPr>
          <w:p w14:paraId="54BBAF6B" w14:textId="77777777" w:rsidR="004C3077" w:rsidRDefault="004C3077">
            <w:pPr>
              <w:pStyle w:val="bmdsTblBody"/>
            </w:pPr>
            <w:proofErr w:type="spellStart"/>
            <w:r>
              <w:rPr>
                <w:b/>
              </w:rPr>
              <w:t>anlnl1</w:t>
            </w:r>
            <w:proofErr w:type="spellEnd"/>
          </w:p>
        </w:tc>
        <w:tc>
          <w:tcPr>
            <w:tcW w:w="1348" w:type="dxa"/>
            <w:vAlign w:val="center"/>
            <w:hideMark/>
          </w:tcPr>
          <w:p w14:paraId="3F457FAD" w14:textId="77777777" w:rsidR="004C3077" w:rsidRDefault="004C3077">
            <w:pPr>
              <w:pStyle w:val="bmdsTblBody"/>
              <w:jc w:val="center"/>
            </w:pPr>
            <w:r>
              <w:rPr>
                <w:sz w:val="16"/>
              </w:rPr>
              <w:t>307056</w:t>
            </w:r>
          </w:p>
        </w:tc>
        <w:tc>
          <w:tcPr>
            <w:tcW w:w="1527" w:type="dxa"/>
            <w:vAlign w:val="center"/>
            <w:hideMark/>
          </w:tcPr>
          <w:p w14:paraId="683FE796" w14:textId="77777777" w:rsidR="004C3077" w:rsidRDefault="004C3077">
            <w:pPr>
              <w:pStyle w:val="bmdsTblBody"/>
              <w:jc w:val="center"/>
            </w:pPr>
            <w:r>
              <w:rPr>
                <w:sz w:val="16"/>
              </w:rPr>
              <w:t>ANLN_32599</w:t>
            </w:r>
          </w:p>
        </w:tc>
        <w:tc>
          <w:tcPr>
            <w:tcW w:w="1416" w:type="dxa"/>
            <w:vAlign w:val="center"/>
            <w:hideMark/>
          </w:tcPr>
          <w:p w14:paraId="76A45A3A" w14:textId="77777777" w:rsidR="004C3077" w:rsidRDefault="004C3077">
            <w:pPr>
              <w:pStyle w:val="bmdsTblBody"/>
              <w:jc w:val="center"/>
            </w:pPr>
            <w:r>
              <w:rPr>
                <w:sz w:val="16"/>
              </w:rPr>
              <w:t>3.325 (1.105-12.281)</w:t>
            </w:r>
          </w:p>
        </w:tc>
        <w:tc>
          <w:tcPr>
            <w:tcW w:w="1418" w:type="dxa"/>
            <w:vAlign w:val="center"/>
            <w:hideMark/>
          </w:tcPr>
          <w:p w14:paraId="1A266320" w14:textId="77777777" w:rsidR="004C3077" w:rsidRDefault="004C3077">
            <w:pPr>
              <w:pStyle w:val="bmdsTblBody"/>
              <w:jc w:val="center"/>
            </w:pPr>
            <w:r>
              <w:rPr>
                <w:sz w:val="16"/>
              </w:rPr>
              <w:t>2.1</w:t>
            </w:r>
          </w:p>
        </w:tc>
        <w:tc>
          <w:tcPr>
            <w:tcW w:w="1463" w:type="dxa"/>
            <w:vAlign w:val="center"/>
            <w:hideMark/>
          </w:tcPr>
          <w:p w14:paraId="4DB5866F" w14:textId="77777777" w:rsidR="004C3077" w:rsidRDefault="004C3077">
            <w:pPr>
              <w:pStyle w:val="bmdsTblBody"/>
              <w:jc w:val="center"/>
            </w:pPr>
            <w:r>
              <w:rPr>
                <w:sz w:val="16"/>
              </w:rPr>
              <w:t>UP</w:t>
            </w:r>
          </w:p>
        </w:tc>
      </w:tr>
      <w:tr w:rsidR="004C3077" w14:paraId="4E8864CC" w14:textId="77777777" w:rsidTr="004C3077">
        <w:tc>
          <w:tcPr>
            <w:tcW w:w="2188" w:type="dxa"/>
            <w:vAlign w:val="center"/>
            <w:hideMark/>
          </w:tcPr>
          <w:p w14:paraId="58DBA574" w14:textId="77777777" w:rsidR="004C3077" w:rsidRDefault="004C3077">
            <w:pPr>
              <w:pStyle w:val="bmdsTblBody"/>
            </w:pPr>
            <w:proofErr w:type="spellStart"/>
            <w:r>
              <w:rPr>
                <w:b/>
              </w:rPr>
              <w:t>car3</w:t>
            </w:r>
            <w:proofErr w:type="spellEnd"/>
          </w:p>
        </w:tc>
        <w:tc>
          <w:tcPr>
            <w:tcW w:w="1348" w:type="dxa"/>
            <w:vAlign w:val="center"/>
            <w:hideMark/>
          </w:tcPr>
          <w:p w14:paraId="7D67264F" w14:textId="77777777" w:rsidR="004C3077" w:rsidRDefault="004C3077">
            <w:pPr>
              <w:pStyle w:val="bmdsTblBody"/>
              <w:jc w:val="center"/>
            </w:pPr>
            <w:r>
              <w:rPr>
                <w:sz w:val="16"/>
              </w:rPr>
              <w:t>54232</w:t>
            </w:r>
          </w:p>
        </w:tc>
        <w:tc>
          <w:tcPr>
            <w:tcW w:w="1527" w:type="dxa"/>
            <w:vAlign w:val="center"/>
            <w:hideMark/>
          </w:tcPr>
          <w:p w14:paraId="7935965D" w14:textId="77777777" w:rsidR="004C3077" w:rsidRDefault="004C3077">
            <w:pPr>
              <w:pStyle w:val="bmdsTblBody"/>
              <w:jc w:val="center"/>
            </w:pPr>
            <w:r>
              <w:rPr>
                <w:sz w:val="16"/>
              </w:rPr>
              <w:t>CAR3_8196</w:t>
            </w:r>
          </w:p>
        </w:tc>
        <w:tc>
          <w:tcPr>
            <w:tcW w:w="1416" w:type="dxa"/>
            <w:vAlign w:val="center"/>
            <w:hideMark/>
          </w:tcPr>
          <w:p w14:paraId="17D65CC2" w14:textId="77777777" w:rsidR="004C3077" w:rsidRDefault="004C3077">
            <w:pPr>
              <w:pStyle w:val="bmdsTblBody"/>
              <w:jc w:val="center"/>
            </w:pPr>
            <w:r>
              <w:rPr>
                <w:sz w:val="16"/>
              </w:rPr>
              <w:t>3.449 (2.131-6.021)</w:t>
            </w:r>
          </w:p>
        </w:tc>
        <w:tc>
          <w:tcPr>
            <w:tcW w:w="1418" w:type="dxa"/>
            <w:vAlign w:val="center"/>
            <w:hideMark/>
          </w:tcPr>
          <w:p w14:paraId="15B13268" w14:textId="77777777" w:rsidR="004C3077" w:rsidRDefault="004C3077">
            <w:pPr>
              <w:pStyle w:val="bmdsTblBody"/>
              <w:jc w:val="center"/>
            </w:pPr>
            <w:r>
              <w:rPr>
                <w:sz w:val="16"/>
              </w:rPr>
              <w:t>6.8</w:t>
            </w:r>
          </w:p>
        </w:tc>
        <w:tc>
          <w:tcPr>
            <w:tcW w:w="1463" w:type="dxa"/>
            <w:vAlign w:val="center"/>
            <w:hideMark/>
          </w:tcPr>
          <w:p w14:paraId="49E76E89" w14:textId="77777777" w:rsidR="004C3077" w:rsidRDefault="004C3077">
            <w:pPr>
              <w:pStyle w:val="bmdsTblBody"/>
              <w:jc w:val="center"/>
            </w:pPr>
            <w:r>
              <w:rPr>
                <w:sz w:val="16"/>
              </w:rPr>
              <w:t>DOWN</w:t>
            </w:r>
          </w:p>
        </w:tc>
      </w:tr>
      <w:tr w:rsidR="004C3077" w14:paraId="42EF63AB" w14:textId="77777777" w:rsidTr="004C3077">
        <w:tc>
          <w:tcPr>
            <w:tcW w:w="2188" w:type="dxa"/>
            <w:vAlign w:val="center"/>
            <w:hideMark/>
          </w:tcPr>
          <w:p w14:paraId="618FB695" w14:textId="77777777" w:rsidR="004C3077" w:rsidRDefault="004C3077">
            <w:pPr>
              <w:pStyle w:val="bmdsTblBody"/>
            </w:pPr>
            <w:proofErr w:type="spellStart"/>
            <w:r>
              <w:rPr>
                <w:b/>
              </w:rPr>
              <w:t>aass</w:t>
            </w:r>
            <w:proofErr w:type="spellEnd"/>
          </w:p>
        </w:tc>
        <w:tc>
          <w:tcPr>
            <w:tcW w:w="1348" w:type="dxa"/>
            <w:vAlign w:val="center"/>
            <w:hideMark/>
          </w:tcPr>
          <w:p w14:paraId="615C4F1D" w14:textId="77777777" w:rsidR="004C3077" w:rsidRDefault="004C3077">
            <w:pPr>
              <w:pStyle w:val="bmdsTblBody"/>
              <w:jc w:val="center"/>
            </w:pPr>
            <w:r>
              <w:rPr>
                <w:sz w:val="16"/>
              </w:rPr>
              <w:t>296925</w:t>
            </w:r>
          </w:p>
        </w:tc>
        <w:tc>
          <w:tcPr>
            <w:tcW w:w="1527" w:type="dxa"/>
            <w:vAlign w:val="center"/>
            <w:hideMark/>
          </w:tcPr>
          <w:p w14:paraId="2D53F556" w14:textId="77777777" w:rsidR="004C3077" w:rsidRDefault="004C3077">
            <w:pPr>
              <w:pStyle w:val="bmdsTblBody"/>
              <w:jc w:val="center"/>
            </w:pPr>
            <w:r>
              <w:rPr>
                <w:sz w:val="16"/>
              </w:rPr>
              <w:t>AASS_7936</w:t>
            </w:r>
          </w:p>
        </w:tc>
        <w:tc>
          <w:tcPr>
            <w:tcW w:w="1416" w:type="dxa"/>
            <w:vAlign w:val="center"/>
            <w:hideMark/>
          </w:tcPr>
          <w:p w14:paraId="08F7AA01" w14:textId="77777777" w:rsidR="004C3077" w:rsidRDefault="004C3077">
            <w:pPr>
              <w:pStyle w:val="bmdsTblBody"/>
              <w:jc w:val="center"/>
            </w:pPr>
            <w:r>
              <w:rPr>
                <w:sz w:val="16"/>
              </w:rPr>
              <w:t>5.811 (2.605-14.079)</w:t>
            </w:r>
          </w:p>
        </w:tc>
        <w:tc>
          <w:tcPr>
            <w:tcW w:w="1418" w:type="dxa"/>
            <w:vAlign w:val="center"/>
            <w:hideMark/>
          </w:tcPr>
          <w:p w14:paraId="20419FF6" w14:textId="77777777" w:rsidR="004C3077" w:rsidRDefault="004C3077">
            <w:pPr>
              <w:pStyle w:val="bmdsTblBody"/>
              <w:jc w:val="center"/>
            </w:pPr>
            <w:r>
              <w:rPr>
                <w:sz w:val="16"/>
              </w:rPr>
              <w:t>2.3</w:t>
            </w:r>
          </w:p>
        </w:tc>
        <w:tc>
          <w:tcPr>
            <w:tcW w:w="1463" w:type="dxa"/>
            <w:vAlign w:val="center"/>
            <w:hideMark/>
          </w:tcPr>
          <w:p w14:paraId="10A271AB" w14:textId="77777777" w:rsidR="004C3077" w:rsidRDefault="004C3077">
            <w:pPr>
              <w:pStyle w:val="bmdsTblBody"/>
              <w:jc w:val="center"/>
            </w:pPr>
            <w:r>
              <w:rPr>
                <w:sz w:val="16"/>
              </w:rPr>
              <w:t>DOWN</w:t>
            </w:r>
          </w:p>
        </w:tc>
      </w:tr>
      <w:tr w:rsidR="004C3077" w14:paraId="73338552" w14:textId="77777777" w:rsidTr="004C3077">
        <w:tc>
          <w:tcPr>
            <w:tcW w:w="2188" w:type="dxa"/>
            <w:vAlign w:val="center"/>
            <w:hideMark/>
          </w:tcPr>
          <w:p w14:paraId="74CF79F3" w14:textId="77777777" w:rsidR="004C3077" w:rsidRDefault="004C3077">
            <w:pPr>
              <w:pStyle w:val="bmdsTblBody"/>
            </w:pPr>
            <w:proofErr w:type="spellStart"/>
            <w:r>
              <w:rPr>
                <w:b/>
              </w:rPr>
              <w:t>asns</w:t>
            </w:r>
            <w:proofErr w:type="spellEnd"/>
          </w:p>
        </w:tc>
        <w:tc>
          <w:tcPr>
            <w:tcW w:w="1348" w:type="dxa"/>
            <w:vAlign w:val="center"/>
            <w:hideMark/>
          </w:tcPr>
          <w:p w14:paraId="56864F85" w14:textId="77777777" w:rsidR="004C3077" w:rsidRDefault="004C3077">
            <w:pPr>
              <w:pStyle w:val="bmdsTblBody"/>
              <w:jc w:val="center"/>
            </w:pPr>
            <w:r>
              <w:rPr>
                <w:sz w:val="16"/>
              </w:rPr>
              <w:t>25612</w:t>
            </w:r>
          </w:p>
        </w:tc>
        <w:tc>
          <w:tcPr>
            <w:tcW w:w="1527" w:type="dxa"/>
            <w:vAlign w:val="center"/>
            <w:hideMark/>
          </w:tcPr>
          <w:p w14:paraId="79A57F0C" w14:textId="77777777" w:rsidR="004C3077" w:rsidRDefault="004C3077">
            <w:pPr>
              <w:pStyle w:val="bmdsTblBody"/>
              <w:jc w:val="center"/>
            </w:pPr>
            <w:r>
              <w:rPr>
                <w:sz w:val="16"/>
              </w:rPr>
              <w:t>ASNS_8091</w:t>
            </w:r>
          </w:p>
        </w:tc>
        <w:tc>
          <w:tcPr>
            <w:tcW w:w="1416" w:type="dxa"/>
            <w:vAlign w:val="center"/>
            <w:hideMark/>
          </w:tcPr>
          <w:p w14:paraId="5D07F87A" w14:textId="77777777" w:rsidR="004C3077" w:rsidRDefault="004C3077">
            <w:pPr>
              <w:pStyle w:val="bmdsTblBody"/>
              <w:jc w:val="center"/>
            </w:pPr>
            <w:r>
              <w:rPr>
                <w:sz w:val="16"/>
              </w:rPr>
              <w:t>6.056 (2.744-14.335)</w:t>
            </w:r>
          </w:p>
        </w:tc>
        <w:tc>
          <w:tcPr>
            <w:tcW w:w="1418" w:type="dxa"/>
            <w:vAlign w:val="center"/>
            <w:hideMark/>
          </w:tcPr>
          <w:p w14:paraId="15D449BF" w14:textId="77777777" w:rsidR="004C3077" w:rsidRDefault="004C3077">
            <w:pPr>
              <w:pStyle w:val="bmdsTblBody"/>
              <w:jc w:val="center"/>
            </w:pPr>
            <w:r>
              <w:rPr>
                <w:sz w:val="16"/>
              </w:rPr>
              <w:t>3.5</w:t>
            </w:r>
          </w:p>
        </w:tc>
        <w:tc>
          <w:tcPr>
            <w:tcW w:w="1463" w:type="dxa"/>
            <w:vAlign w:val="center"/>
            <w:hideMark/>
          </w:tcPr>
          <w:p w14:paraId="0C1DEDAC" w14:textId="77777777" w:rsidR="004C3077" w:rsidRDefault="004C3077">
            <w:pPr>
              <w:pStyle w:val="bmdsTblBody"/>
              <w:jc w:val="center"/>
            </w:pPr>
            <w:r>
              <w:rPr>
                <w:sz w:val="16"/>
              </w:rPr>
              <w:t>UP</w:t>
            </w:r>
          </w:p>
        </w:tc>
      </w:tr>
      <w:tr w:rsidR="004C3077" w14:paraId="3B603595" w14:textId="77777777" w:rsidTr="004C3077">
        <w:tc>
          <w:tcPr>
            <w:tcW w:w="2188" w:type="dxa"/>
            <w:vAlign w:val="center"/>
            <w:hideMark/>
          </w:tcPr>
          <w:p w14:paraId="1A8E9094" w14:textId="77777777" w:rsidR="004C3077" w:rsidRDefault="004C3077">
            <w:pPr>
              <w:pStyle w:val="bmdsTblBody"/>
            </w:pPr>
            <w:proofErr w:type="spellStart"/>
            <w:r>
              <w:rPr>
                <w:b/>
              </w:rPr>
              <w:t>a2m</w:t>
            </w:r>
            <w:proofErr w:type="spellEnd"/>
          </w:p>
        </w:tc>
        <w:tc>
          <w:tcPr>
            <w:tcW w:w="1348" w:type="dxa"/>
            <w:vAlign w:val="center"/>
            <w:hideMark/>
          </w:tcPr>
          <w:p w14:paraId="6A4D45EB" w14:textId="77777777" w:rsidR="004C3077" w:rsidRDefault="004C3077">
            <w:pPr>
              <w:pStyle w:val="bmdsTblBody"/>
              <w:jc w:val="center"/>
            </w:pPr>
            <w:r>
              <w:rPr>
                <w:sz w:val="16"/>
              </w:rPr>
              <w:t>24153</w:t>
            </w:r>
          </w:p>
        </w:tc>
        <w:tc>
          <w:tcPr>
            <w:tcW w:w="1527" w:type="dxa"/>
            <w:vAlign w:val="center"/>
            <w:hideMark/>
          </w:tcPr>
          <w:p w14:paraId="31804581" w14:textId="77777777" w:rsidR="004C3077" w:rsidRDefault="004C3077">
            <w:pPr>
              <w:pStyle w:val="bmdsTblBody"/>
              <w:jc w:val="center"/>
            </w:pPr>
            <w:r>
              <w:rPr>
                <w:sz w:val="16"/>
              </w:rPr>
              <w:t>A2M_7932</w:t>
            </w:r>
          </w:p>
        </w:tc>
        <w:tc>
          <w:tcPr>
            <w:tcW w:w="1416" w:type="dxa"/>
            <w:vAlign w:val="center"/>
            <w:hideMark/>
          </w:tcPr>
          <w:p w14:paraId="20F72661" w14:textId="77777777" w:rsidR="004C3077" w:rsidRDefault="004C3077">
            <w:pPr>
              <w:pStyle w:val="bmdsTblBody"/>
              <w:jc w:val="center"/>
            </w:pPr>
            <w:r>
              <w:rPr>
                <w:sz w:val="16"/>
              </w:rPr>
              <w:t>8.459 (1.870-42.023)</w:t>
            </w:r>
          </w:p>
        </w:tc>
        <w:tc>
          <w:tcPr>
            <w:tcW w:w="1418" w:type="dxa"/>
            <w:vAlign w:val="center"/>
            <w:hideMark/>
          </w:tcPr>
          <w:p w14:paraId="448819C6" w14:textId="77777777" w:rsidR="004C3077" w:rsidRDefault="004C3077">
            <w:pPr>
              <w:pStyle w:val="bmdsTblBody"/>
              <w:jc w:val="center"/>
            </w:pPr>
            <w:r>
              <w:rPr>
                <w:sz w:val="16"/>
              </w:rPr>
              <w:t>2.8</w:t>
            </w:r>
          </w:p>
        </w:tc>
        <w:tc>
          <w:tcPr>
            <w:tcW w:w="1463" w:type="dxa"/>
            <w:vAlign w:val="center"/>
            <w:hideMark/>
          </w:tcPr>
          <w:p w14:paraId="3451A629" w14:textId="77777777" w:rsidR="004C3077" w:rsidRDefault="004C3077">
            <w:pPr>
              <w:pStyle w:val="bmdsTblBody"/>
              <w:jc w:val="center"/>
            </w:pPr>
            <w:r>
              <w:rPr>
                <w:sz w:val="16"/>
              </w:rPr>
              <w:t>DOWN</w:t>
            </w:r>
          </w:p>
        </w:tc>
      </w:tr>
      <w:tr w:rsidR="004C3077" w14:paraId="509BA375" w14:textId="77777777" w:rsidTr="004C3077">
        <w:tc>
          <w:tcPr>
            <w:tcW w:w="2188" w:type="dxa"/>
            <w:vAlign w:val="center"/>
            <w:hideMark/>
          </w:tcPr>
          <w:p w14:paraId="74F461ED" w14:textId="77777777" w:rsidR="004C3077" w:rsidRDefault="004C3077">
            <w:pPr>
              <w:pStyle w:val="bmdsTblBody"/>
            </w:pPr>
            <w:proofErr w:type="spellStart"/>
            <w:r>
              <w:rPr>
                <w:b/>
              </w:rPr>
              <w:t>loc100911545</w:t>
            </w:r>
            <w:proofErr w:type="spellEnd"/>
          </w:p>
        </w:tc>
        <w:tc>
          <w:tcPr>
            <w:tcW w:w="1348" w:type="dxa"/>
            <w:vAlign w:val="center"/>
            <w:hideMark/>
          </w:tcPr>
          <w:p w14:paraId="5E5DC844" w14:textId="77777777" w:rsidR="004C3077" w:rsidRDefault="004C3077">
            <w:pPr>
              <w:pStyle w:val="bmdsTblBody"/>
              <w:jc w:val="center"/>
            </w:pPr>
            <w:r>
              <w:rPr>
                <w:sz w:val="16"/>
              </w:rPr>
              <w:t>100911545</w:t>
            </w:r>
          </w:p>
        </w:tc>
        <w:tc>
          <w:tcPr>
            <w:tcW w:w="1527" w:type="dxa"/>
            <w:vAlign w:val="center"/>
            <w:hideMark/>
          </w:tcPr>
          <w:p w14:paraId="4ED8CC9E" w14:textId="77777777" w:rsidR="004C3077" w:rsidRDefault="004C3077">
            <w:pPr>
              <w:pStyle w:val="bmdsTblBody"/>
              <w:jc w:val="center"/>
            </w:pPr>
            <w:r>
              <w:rPr>
                <w:sz w:val="16"/>
              </w:rPr>
              <w:t>A2M_7932</w:t>
            </w:r>
          </w:p>
        </w:tc>
        <w:tc>
          <w:tcPr>
            <w:tcW w:w="1416" w:type="dxa"/>
            <w:vAlign w:val="center"/>
            <w:hideMark/>
          </w:tcPr>
          <w:p w14:paraId="6E2EA329" w14:textId="77777777" w:rsidR="004C3077" w:rsidRDefault="004C3077">
            <w:pPr>
              <w:pStyle w:val="bmdsTblBody"/>
              <w:jc w:val="center"/>
            </w:pPr>
            <w:r>
              <w:rPr>
                <w:sz w:val="16"/>
              </w:rPr>
              <w:t>8.459 (1.870-42.023)</w:t>
            </w:r>
          </w:p>
        </w:tc>
        <w:tc>
          <w:tcPr>
            <w:tcW w:w="1418" w:type="dxa"/>
            <w:vAlign w:val="center"/>
            <w:hideMark/>
          </w:tcPr>
          <w:p w14:paraId="0E364CF7" w14:textId="77777777" w:rsidR="004C3077" w:rsidRDefault="004C3077">
            <w:pPr>
              <w:pStyle w:val="bmdsTblBody"/>
              <w:jc w:val="center"/>
            </w:pPr>
            <w:r>
              <w:rPr>
                <w:sz w:val="16"/>
              </w:rPr>
              <w:t>2.8</w:t>
            </w:r>
          </w:p>
        </w:tc>
        <w:tc>
          <w:tcPr>
            <w:tcW w:w="1463" w:type="dxa"/>
            <w:vAlign w:val="center"/>
            <w:hideMark/>
          </w:tcPr>
          <w:p w14:paraId="543356F4" w14:textId="77777777" w:rsidR="004C3077" w:rsidRDefault="004C3077">
            <w:pPr>
              <w:pStyle w:val="bmdsTblBody"/>
              <w:jc w:val="center"/>
            </w:pPr>
            <w:r>
              <w:rPr>
                <w:sz w:val="16"/>
              </w:rPr>
              <w:t>DOWN</w:t>
            </w:r>
          </w:p>
        </w:tc>
      </w:tr>
      <w:tr w:rsidR="004C3077" w14:paraId="585A6162" w14:textId="77777777" w:rsidTr="004C3077">
        <w:tc>
          <w:tcPr>
            <w:tcW w:w="2188" w:type="dxa"/>
            <w:vAlign w:val="center"/>
            <w:hideMark/>
          </w:tcPr>
          <w:p w14:paraId="7DDAB104" w14:textId="77777777" w:rsidR="004C3077" w:rsidRDefault="004C3077">
            <w:pPr>
              <w:pStyle w:val="bmdsTblBody"/>
            </w:pPr>
            <w:proofErr w:type="spellStart"/>
            <w:r>
              <w:rPr>
                <w:b/>
              </w:rPr>
              <w:t>nr1d2</w:t>
            </w:r>
            <w:proofErr w:type="spellEnd"/>
          </w:p>
        </w:tc>
        <w:tc>
          <w:tcPr>
            <w:tcW w:w="1348" w:type="dxa"/>
            <w:vAlign w:val="center"/>
            <w:hideMark/>
          </w:tcPr>
          <w:p w14:paraId="49C5EDC6" w14:textId="77777777" w:rsidR="004C3077" w:rsidRDefault="004C3077">
            <w:pPr>
              <w:pStyle w:val="bmdsTblBody"/>
              <w:jc w:val="center"/>
            </w:pPr>
            <w:r>
              <w:rPr>
                <w:sz w:val="16"/>
              </w:rPr>
              <w:t>259241</w:t>
            </w:r>
          </w:p>
        </w:tc>
        <w:tc>
          <w:tcPr>
            <w:tcW w:w="1527" w:type="dxa"/>
            <w:vAlign w:val="center"/>
            <w:hideMark/>
          </w:tcPr>
          <w:p w14:paraId="493FA091" w14:textId="77777777" w:rsidR="004C3077" w:rsidRDefault="004C3077">
            <w:pPr>
              <w:pStyle w:val="bmdsTblBody"/>
              <w:jc w:val="center"/>
            </w:pPr>
            <w:r>
              <w:rPr>
                <w:sz w:val="16"/>
              </w:rPr>
              <w:t>NR1D2_9358</w:t>
            </w:r>
          </w:p>
        </w:tc>
        <w:tc>
          <w:tcPr>
            <w:tcW w:w="1416" w:type="dxa"/>
            <w:vAlign w:val="center"/>
            <w:hideMark/>
          </w:tcPr>
          <w:p w14:paraId="28FFBA23" w14:textId="77777777" w:rsidR="004C3077" w:rsidRDefault="004C3077">
            <w:pPr>
              <w:pStyle w:val="bmdsTblBody"/>
              <w:jc w:val="center"/>
            </w:pPr>
            <w:r>
              <w:rPr>
                <w:sz w:val="16"/>
              </w:rPr>
              <w:t>9.460 (2.213-49.422)</w:t>
            </w:r>
          </w:p>
        </w:tc>
        <w:tc>
          <w:tcPr>
            <w:tcW w:w="1418" w:type="dxa"/>
            <w:vAlign w:val="center"/>
            <w:hideMark/>
          </w:tcPr>
          <w:p w14:paraId="759493EC" w14:textId="77777777" w:rsidR="004C3077" w:rsidRDefault="004C3077">
            <w:pPr>
              <w:pStyle w:val="bmdsTblBody"/>
              <w:jc w:val="center"/>
            </w:pPr>
            <w:r>
              <w:rPr>
                <w:sz w:val="16"/>
              </w:rPr>
              <w:t>2.2</w:t>
            </w:r>
          </w:p>
        </w:tc>
        <w:tc>
          <w:tcPr>
            <w:tcW w:w="1463" w:type="dxa"/>
            <w:vAlign w:val="center"/>
            <w:hideMark/>
          </w:tcPr>
          <w:p w14:paraId="5FFBC250" w14:textId="77777777" w:rsidR="004C3077" w:rsidRDefault="004C3077">
            <w:pPr>
              <w:pStyle w:val="bmdsTblBody"/>
              <w:jc w:val="center"/>
            </w:pPr>
            <w:r>
              <w:rPr>
                <w:sz w:val="16"/>
              </w:rPr>
              <w:t>UP</w:t>
            </w:r>
          </w:p>
        </w:tc>
      </w:tr>
      <w:tr w:rsidR="004C3077" w14:paraId="5A8F3555" w14:textId="77777777" w:rsidTr="004C3077">
        <w:tc>
          <w:tcPr>
            <w:tcW w:w="2188" w:type="dxa"/>
            <w:tcBorders>
              <w:top w:val="nil"/>
              <w:left w:val="nil"/>
              <w:bottom w:val="single" w:sz="2" w:space="0" w:color="000000"/>
              <w:right w:val="nil"/>
            </w:tcBorders>
            <w:vAlign w:val="center"/>
            <w:hideMark/>
          </w:tcPr>
          <w:p w14:paraId="1E56E324" w14:textId="77777777" w:rsidR="004C3077" w:rsidRDefault="004C3077">
            <w:pPr>
              <w:pStyle w:val="bmdsTblBody"/>
            </w:pPr>
            <w:proofErr w:type="spellStart"/>
            <w:r>
              <w:rPr>
                <w:b/>
              </w:rPr>
              <w:t>sez6</w:t>
            </w:r>
            <w:proofErr w:type="spellEnd"/>
          </w:p>
        </w:tc>
        <w:tc>
          <w:tcPr>
            <w:tcW w:w="1348" w:type="dxa"/>
            <w:tcBorders>
              <w:top w:val="nil"/>
              <w:left w:val="nil"/>
              <w:bottom w:val="single" w:sz="2" w:space="0" w:color="000000"/>
              <w:right w:val="nil"/>
            </w:tcBorders>
            <w:vAlign w:val="center"/>
            <w:hideMark/>
          </w:tcPr>
          <w:p w14:paraId="06549D32" w14:textId="77777777" w:rsidR="004C3077" w:rsidRDefault="004C3077">
            <w:pPr>
              <w:pStyle w:val="bmdsTblBody"/>
              <w:jc w:val="center"/>
            </w:pPr>
            <w:r>
              <w:rPr>
                <w:sz w:val="16"/>
              </w:rPr>
              <w:t>192247</w:t>
            </w:r>
          </w:p>
        </w:tc>
        <w:tc>
          <w:tcPr>
            <w:tcW w:w="1527" w:type="dxa"/>
            <w:tcBorders>
              <w:top w:val="nil"/>
              <w:left w:val="nil"/>
              <w:bottom w:val="single" w:sz="2" w:space="0" w:color="000000"/>
              <w:right w:val="nil"/>
            </w:tcBorders>
            <w:vAlign w:val="center"/>
            <w:hideMark/>
          </w:tcPr>
          <w:p w14:paraId="771F34B8" w14:textId="77777777" w:rsidR="004C3077" w:rsidRDefault="004C3077">
            <w:pPr>
              <w:pStyle w:val="bmdsTblBody"/>
              <w:jc w:val="center"/>
            </w:pPr>
            <w:r>
              <w:rPr>
                <w:sz w:val="16"/>
              </w:rPr>
              <w:t>SEZ6_9819</w:t>
            </w:r>
          </w:p>
        </w:tc>
        <w:tc>
          <w:tcPr>
            <w:tcW w:w="1416" w:type="dxa"/>
            <w:tcBorders>
              <w:top w:val="nil"/>
              <w:left w:val="nil"/>
              <w:bottom w:val="single" w:sz="2" w:space="0" w:color="000000"/>
              <w:right w:val="nil"/>
            </w:tcBorders>
            <w:vAlign w:val="center"/>
            <w:hideMark/>
          </w:tcPr>
          <w:p w14:paraId="03366179" w14:textId="77777777" w:rsidR="004C3077" w:rsidRDefault="004C3077">
            <w:pPr>
              <w:pStyle w:val="bmdsTblBody"/>
              <w:jc w:val="center"/>
            </w:pPr>
            <w:r>
              <w:rPr>
                <w:sz w:val="16"/>
              </w:rPr>
              <w:t>10.639 (3.960-29.500)</w:t>
            </w:r>
          </w:p>
        </w:tc>
        <w:tc>
          <w:tcPr>
            <w:tcW w:w="1418" w:type="dxa"/>
            <w:tcBorders>
              <w:top w:val="nil"/>
              <w:left w:val="nil"/>
              <w:bottom w:val="single" w:sz="2" w:space="0" w:color="000000"/>
              <w:right w:val="nil"/>
            </w:tcBorders>
            <w:vAlign w:val="center"/>
            <w:hideMark/>
          </w:tcPr>
          <w:p w14:paraId="5845FE5A" w14:textId="77777777" w:rsidR="004C3077" w:rsidRDefault="004C3077">
            <w:pPr>
              <w:pStyle w:val="bmdsTblBody"/>
              <w:jc w:val="center"/>
            </w:pPr>
            <w:r>
              <w:rPr>
                <w:sz w:val="16"/>
              </w:rPr>
              <w:t>3.7</w:t>
            </w:r>
          </w:p>
        </w:tc>
        <w:tc>
          <w:tcPr>
            <w:tcW w:w="1463" w:type="dxa"/>
            <w:tcBorders>
              <w:top w:val="nil"/>
              <w:left w:val="nil"/>
              <w:bottom w:val="single" w:sz="2" w:space="0" w:color="000000"/>
              <w:right w:val="nil"/>
            </w:tcBorders>
            <w:vAlign w:val="center"/>
            <w:hideMark/>
          </w:tcPr>
          <w:p w14:paraId="103BA0A9" w14:textId="77777777" w:rsidR="004C3077" w:rsidRDefault="004C3077">
            <w:pPr>
              <w:pStyle w:val="bmdsTblBody"/>
              <w:jc w:val="center"/>
            </w:pPr>
            <w:r>
              <w:rPr>
                <w:sz w:val="16"/>
              </w:rPr>
              <w:t>DOWN</w:t>
            </w:r>
          </w:p>
        </w:tc>
      </w:tr>
    </w:tbl>
    <w:p w14:paraId="42FDD1B9" w14:textId="77777777" w:rsidR="004C3077" w:rsidRDefault="004C3077" w:rsidP="004C307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Descriptions of orthologous human genes are shown due to the increased detail that is available in public resources such as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t>
      </w:r>
      <w:hyperlink r:id="rId6" w:history="1">
        <w:r>
          <w:rPr>
            <w:rStyle w:val="Hyperlink"/>
            <w:rFonts w:ascii="Times New Roman" w:hAnsi="Times New Roman" w:cs="Times New Roman"/>
            <w:sz w:val="18"/>
            <w:szCs w:val="18"/>
          </w:rPr>
          <w:t>https://www.uniprot.org/uniprot/</w:t>
        </w:r>
      </w:hyperlink>
      <w:r>
        <w:rPr>
          <w:rFonts w:ascii="Times New Roman" w:hAnsi="Times New Roman" w:cs="Times New Roman"/>
          <w:color w:val="000000" w:themeColor="text1"/>
          <w:sz w:val="18"/>
          <w:szCs w:val="18"/>
        </w:rPr>
        <w:t>) and Entrez Gene (</w:t>
      </w:r>
      <w:hyperlink r:id="rId7" w:history="1">
        <w:r>
          <w:rPr>
            <w:rStyle w:val="Hyperlink"/>
            <w:rFonts w:ascii="Times New Roman" w:hAnsi="Times New Roman" w:cs="Times New Roman"/>
            <w:sz w:val="18"/>
            <w:szCs w:val="18"/>
          </w:rPr>
          <w:t>https://www.ncbi.nlm.nih.gov/gene/</w:t>
        </w:r>
      </w:hyperlink>
      <w:r>
        <w:rPr>
          <w:rFonts w:ascii="Times New Roman" w:hAnsi="Times New Roman" w:cs="Times New Roman"/>
          <w:color w:val="000000" w:themeColor="text1"/>
          <w:sz w:val="18"/>
          <w:szCs w:val="18"/>
        </w:rPr>
        <w:t xml:space="preserve">). Human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was used as primary resource due to the greater breadth of annotation and depth of functional detail that is provided. Rat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was used as the second resource if the primary source did not provide a detailed description of function. Human Entrez gene summary was used as third resource.  Rat Entrez gene summary was used as the fourth resource.</w:t>
      </w:r>
    </w:p>
    <w:p w14:paraId="1E6389DD" w14:textId="00B64D4E" w:rsidR="004C3077" w:rsidRDefault="004C3077" w:rsidP="004C3077">
      <w:pPr>
        <w:pStyle w:val="bmdsTblFootnote"/>
      </w:pPr>
      <w:r>
        <w:rPr>
          <w:b/>
        </w:rPr>
        <w:t>Gene definition version:</w:t>
      </w:r>
      <w:r>
        <w:t xml:space="preserve"> </w:t>
      </w:r>
      <w:r w:rsidR="00DE472E">
        <w:t>https://cebs.niehs.nih.gov/cebs/study/002-00600-0002-000-0</w:t>
      </w:r>
      <w:r>
        <w:t xml:space="preserve"> </w:t>
      </w:r>
      <w:proofErr w:type="spellStart"/>
      <w:r w:rsidR="00E214D5">
        <w:t>V05282021</w:t>
      </w:r>
      <w:proofErr w:type="spellEnd"/>
    </w:p>
    <w:p w14:paraId="6BACAD16" w14:textId="77777777" w:rsidR="004C3077" w:rsidRDefault="004C3077" w:rsidP="004C3077">
      <w:pPr>
        <w:pStyle w:val="bmdsTblFootnote"/>
      </w:pPr>
      <w:proofErr w:type="spellStart"/>
      <w:r>
        <w:rPr>
          <w:b/>
        </w:rPr>
        <w:t>Kif22</w:t>
      </w:r>
      <w:proofErr w:type="spellEnd"/>
      <w:r>
        <w:rPr>
          <w:b/>
        </w:rPr>
        <w:t>:</w:t>
      </w:r>
      <w:r>
        <w:rPr>
          <w:i/>
        </w:rPr>
        <w:t xml:space="preserve"> Human </w:t>
      </w:r>
      <w:proofErr w:type="spellStart"/>
      <w:r>
        <w:rPr>
          <w:i/>
        </w:rPr>
        <w:t>Uniprot</w:t>
      </w:r>
      <w:proofErr w:type="spellEnd"/>
      <w:r>
        <w:rPr>
          <w:i/>
        </w:rPr>
        <w:t xml:space="preserve"> function (Human KIF22):</w:t>
      </w:r>
      <w:r>
        <w:t xml:space="preserve"> Kinesin family member that is involved in spindle formation and the movements of chromosomes during mitosis and meiosis. Binds to microtubules and to DNA (By similarity). Plays a role in </w:t>
      </w:r>
      <w:proofErr w:type="spellStart"/>
      <w:r>
        <w:t>congression</w:t>
      </w:r>
      <w:proofErr w:type="spellEnd"/>
      <w:r>
        <w:t xml:space="preserve"> of laterally attached chromosomes in NDC80-depleted cells (</w:t>
      </w:r>
      <w:proofErr w:type="spellStart"/>
      <w:r>
        <w:t>PubMed25743205</w:t>
      </w:r>
      <w:proofErr w:type="spellEnd"/>
      <w:r>
        <w:t>). {</w:t>
      </w:r>
      <w:proofErr w:type="spellStart"/>
      <w:r>
        <w:t>ECO0000250|UniProtKBQ9I869</w:t>
      </w:r>
      <w:proofErr w:type="spellEnd"/>
      <w:r>
        <w:t xml:space="preserve">, </w:t>
      </w:r>
      <w:proofErr w:type="spellStart"/>
      <w:r>
        <w:t>ECO0000269|PubMed25743205</w:t>
      </w:r>
      <w:proofErr w:type="spellEnd"/>
      <w:r>
        <w:t>}.</w:t>
      </w:r>
    </w:p>
    <w:p w14:paraId="5A7921F9" w14:textId="77777777" w:rsidR="004C3077" w:rsidRDefault="004C3077" w:rsidP="004C3077">
      <w:pPr>
        <w:pStyle w:val="bmdsTblFootnote"/>
      </w:pPr>
      <w:proofErr w:type="spellStart"/>
      <w:r>
        <w:rPr>
          <w:b/>
        </w:rPr>
        <w:t>Anln</w:t>
      </w:r>
      <w:proofErr w:type="spellEnd"/>
      <w:r>
        <w:rPr>
          <w:b/>
        </w:rPr>
        <w:t>:</w:t>
      </w:r>
      <w:r>
        <w:rPr>
          <w:i/>
        </w:rPr>
        <w:t xml:space="preserve"> Human </w:t>
      </w:r>
      <w:proofErr w:type="spellStart"/>
      <w:r>
        <w:rPr>
          <w:i/>
        </w:rPr>
        <w:t>Uniprot</w:t>
      </w:r>
      <w:proofErr w:type="spellEnd"/>
      <w:r>
        <w:rPr>
          <w:i/>
        </w:rPr>
        <w:t xml:space="preserve"> function (Human ANLN):</w:t>
      </w:r>
      <w:r>
        <w:t xml:space="preserve"> Required for cytokinesis (</w:t>
      </w:r>
      <w:proofErr w:type="spellStart"/>
      <w:r>
        <w:t>PubMed16040610</w:t>
      </w:r>
      <w:proofErr w:type="spellEnd"/>
      <w:r>
        <w:t>). Essential for the structural integrity of the cleavage furrow and for completion of cleavage furrow ingression. Plays a role in bleb assembly during metaphase and anaphase of mitosis (</w:t>
      </w:r>
      <w:proofErr w:type="spellStart"/>
      <w:r>
        <w:t>PubMed23870127</w:t>
      </w:r>
      <w:proofErr w:type="spellEnd"/>
      <w:r>
        <w:t>). May play a significant role in podocyte cell migration (</w:t>
      </w:r>
      <w:proofErr w:type="spellStart"/>
      <w:r>
        <w:t>PubMed24676636</w:t>
      </w:r>
      <w:proofErr w:type="spellEnd"/>
      <w:r>
        <w:t>). {</w:t>
      </w:r>
      <w:proofErr w:type="spellStart"/>
      <w:r>
        <w:t>ECO0000269|PubMed10931866</w:t>
      </w:r>
      <w:proofErr w:type="spellEnd"/>
      <w:r>
        <w:t xml:space="preserve">, </w:t>
      </w:r>
      <w:proofErr w:type="spellStart"/>
      <w:r>
        <w:t>ECO0000269|PubMed12479805</w:t>
      </w:r>
      <w:proofErr w:type="spellEnd"/>
      <w:r>
        <w:t xml:space="preserve">, </w:t>
      </w:r>
      <w:proofErr w:type="spellStart"/>
      <w:r>
        <w:t>ECO0000269|PubMed15496454</w:t>
      </w:r>
      <w:proofErr w:type="spellEnd"/>
      <w:r>
        <w:t xml:space="preserve">, </w:t>
      </w:r>
      <w:proofErr w:type="spellStart"/>
      <w:r>
        <w:t>ECO0000269|PubMed16040610</w:t>
      </w:r>
      <w:proofErr w:type="spellEnd"/>
      <w:r>
        <w:t xml:space="preserve">, </w:t>
      </w:r>
      <w:proofErr w:type="spellStart"/>
      <w:r>
        <w:t>ECO0000269|PubMed16357138</w:t>
      </w:r>
      <w:proofErr w:type="spellEnd"/>
      <w:r>
        <w:t xml:space="preserve">, </w:t>
      </w:r>
      <w:proofErr w:type="spellStart"/>
      <w:r>
        <w:t>ECO0000269|PubMed23870127</w:t>
      </w:r>
      <w:proofErr w:type="spellEnd"/>
      <w:r>
        <w:t xml:space="preserve">, </w:t>
      </w:r>
      <w:proofErr w:type="spellStart"/>
      <w:r>
        <w:t>ECO0000269|PubMed24676636</w:t>
      </w:r>
      <w:proofErr w:type="spellEnd"/>
      <w:r>
        <w:t>}.</w:t>
      </w:r>
    </w:p>
    <w:p w14:paraId="74192665" w14:textId="77777777" w:rsidR="004C3077" w:rsidRDefault="004C3077" w:rsidP="004C3077">
      <w:pPr>
        <w:pStyle w:val="bmdsTblFootnote"/>
      </w:pPr>
      <w:proofErr w:type="spellStart"/>
      <w:r>
        <w:rPr>
          <w:b/>
        </w:rPr>
        <w:t>Anlnl1</w:t>
      </w:r>
      <w:proofErr w:type="spellEnd"/>
      <w:r>
        <w:rPr>
          <w:b/>
        </w:rPr>
        <w:t>:</w:t>
      </w:r>
      <w:r>
        <w:rPr>
          <w:i/>
        </w:rPr>
        <w:t xml:space="preserve"> Human </w:t>
      </w:r>
      <w:proofErr w:type="spellStart"/>
      <w:r>
        <w:rPr>
          <w:i/>
        </w:rPr>
        <w:t>Uniprot</w:t>
      </w:r>
      <w:proofErr w:type="spellEnd"/>
      <w:r>
        <w:rPr>
          <w:i/>
        </w:rPr>
        <w:t xml:space="preserve"> function (Human ANLN):</w:t>
      </w:r>
      <w:r>
        <w:t xml:space="preserve"> Required for cytokinesis (</w:t>
      </w:r>
      <w:proofErr w:type="spellStart"/>
      <w:r>
        <w:t>PubMed16040610</w:t>
      </w:r>
      <w:proofErr w:type="spellEnd"/>
      <w:r>
        <w:t>). Essential for the structural integrity of the cleavage furrow and for completion of cleavage furrow ingression. Plays a role in bleb assembly during metaphase and anaphase of mitosis (</w:t>
      </w:r>
      <w:proofErr w:type="spellStart"/>
      <w:r>
        <w:t>PubMed23870127</w:t>
      </w:r>
      <w:proofErr w:type="spellEnd"/>
      <w:r>
        <w:t>). May play a significant role in podocyte cell migration (</w:t>
      </w:r>
      <w:proofErr w:type="spellStart"/>
      <w:r>
        <w:t>PubMed24676636</w:t>
      </w:r>
      <w:proofErr w:type="spellEnd"/>
      <w:r>
        <w:t>). {</w:t>
      </w:r>
      <w:proofErr w:type="spellStart"/>
      <w:r>
        <w:t>ECO0000269|PubMed10931866</w:t>
      </w:r>
      <w:proofErr w:type="spellEnd"/>
      <w:r>
        <w:t xml:space="preserve">, </w:t>
      </w:r>
      <w:proofErr w:type="spellStart"/>
      <w:r>
        <w:t>ECO0000269|PubMed12479805</w:t>
      </w:r>
      <w:proofErr w:type="spellEnd"/>
      <w:r>
        <w:t xml:space="preserve">, </w:t>
      </w:r>
      <w:proofErr w:type="spellStart"/>
      <w:r>
        <w:t>ECO0000269|PubMed15496454</w:t>
      </w:r>
      <w:proofErr w:type="spellEnd"/>
      <w:r>
        <w:t xml:space="preserve">, </w:t>
      </w:r>
      <w:proofErr w:type="spellStart"/>
      <w:r>
        <w:t>ECO0000269|PubMed16040610</w:t>
      </w:r>
      <w:proofErr w:type="spellEnd"/>
      <w:r>
        <w:t xml:space="preserve">, </w:t>
      </w:r>
      <w:proofErr w:type="spellStart"/>
      <w:r>
        <w:t>ECO0000269|PubMed16357138</w:t>
      </w:r>
      <w:proofErr w:type="spellEnd"/>
      <w:r>
        <w:t xml:space="preserve">, </w:t>
      </w:r>
      <w:proofErr w:type="spellStart"/>
      <w:r>
        <w:t>ECO0000269|PubMed23870127</w:t>
      </w:r>
      <w:proofErr w:type="spellEnd"/>
      <w:r>
        <w:t xml:space="preserve">, </w:t>
      </w:r>
      <w:proofErr w:type="spellStart"/>
      <w:r>
        <w:t>ECO0000269|PubMed24676636</w:t>
      </w:r>
      <w:proofErr w:type="spellEnd"/>
      <w:r>
        <w:t>}.</w:t>
      </w:r>
    </w:p>
    <w:p w14:paraId="03E2E1D6" w14:textId="77777777" w:rsidR="004C3077" w:rsidRDefault="004C3077" w:rsidP="004C3077">
      <w:pPr>
        <w:pStyle w:val="bmdsTblFootnote"/>
      </w:pPr>
      <w:proofErr w:type="spellStart"/>
      <w:r>
        <w:rPr>
          <w:b/>
        </w:rPr>
        <w:t>car3</w:t>
      </w:r>
      <w:proofErr w:type="spellEnd"/>
      <w:r>
        <w:rPr>
          <w:b/>
        </w:rPr>
        <w:t>:</w:t>
      </w:r>
      <w:r>
        <w:t xml:space="preserve"> </w:t>
      </w:r>
      <w:r>
        <w:rPr>
          <w:i/>
        </w:rPr>
        <w:t xml:space="preserve">Human </w:t>
      </w:r>
      <w:proofErr w:type="spellStart"/>
      <w:r>
        <w:rPr>
          <w:i/>
        </w:rPr>
        <w:t>Uniprot</w:t>
      </w:r>
      <w:proofErr w:type="spellEnd"/>
      <w:r>
        <w:rPr>
          <w:i/>
        </w:rPr>
        <w:t xml:space="preserve"> function (Human CA3):</w:t>
      </w:r>
      <w:r>
        <w:t xml:space="preserve"> Reversible hydration of carbon dioxide.</w:t>
      </w:r>
    </w:p>
    <w:p w14:paraId="31FE8D02" w14:textId="77777777" w:rsidR="004C3077" w:rsidRDefault="004C3077" w:rsidP="004C3077">
      <w:pPr>
        <w:pStyle w:val="bmdsTblFootnote"/>
      </w:pPr>
      <w:proofErr w:type="spellStart"/>
      <w:r>
        <w:rPr>
          <w:b/>
        </w:rPr>
        <w:t>Aass</w:t>
      </w:r>
      <w:proofErr w:type="spellEnd"/>
      <w:r>
        <w:rPr>
          <w:b/>
        </w:rPr>
        <w:t>:</w:t>
      </w:r>
      <w:r>
        <w:rPr>
          <w:i/>
        </w:rPr>
        <w:t xml:space="preserve"> Human </w:t>
      </w:r>
      <w:proofErr w:type="spellStart"/>
      <w:r>
        <w:rPr>
          <w:i/>
        </w:rPr>
        <w:t>Uniprot</w:t>
      </w:r>
      <w:proofErr w:type="spellEnd"/>
      <w:r>
        <w:rPr>
          <w:i/>
        </w:rPr>
        <w:t xml:space="preserve"> function (Human AASS):</w:t>
      </w:r>
      <w:r>
        <w:t xml:space="preserve"> Bifunctional enzyme that catalyzes the first two steps in lysine degradation. The N-terminal and the C-terminal contain lysine-ketoglutarate reductase and </w:t>
      </w:r>
      <w:proofErr w:type="spellStart"/>
      <w:r>
        <w:t>saccharopine</w:t>
      </w:r>
      <w:proofErr w:type="spellEnd"/>
      <w:r>
        <w:t xml:space="preserve"> dehydrogenase activity, respectively.</w:t>
      </w:r>
    </w:p>
    <w:p w14:paraId="0D745D65" w14:textId="77777777" w:rsidR="004C3077" w:rsidRDefault="004C3077" w:rsidP="004C3077">
      <w:pPr>
        <w:pStyle w:val="bmdsTblFootnote"/>
      </w:pPr>
      <w:proofErr w:type="spellStart"/>
      <w:r>
        <w:rPr>
          <w:b/>
        </w:rPr>
        <w:t>Asns</w:t>
      </w:r>
      <w:proofErr w:type="spellEnd"/>
      <w:r>
        <w:rPr>
          <w:b/>
        </w:rPr>
        <w:t>:</w:t>
      </w:r>
      <w:r>
        <w:rPr>
          <w:i/>
        </w:rPr>
        <w:t xml:space="preserve"> Human Entrez Gene Summary (Human ASNS):</w:t>
      </w:r>
      <w:r>
        <w:t xml:space="preserve"> The protein encoded by this gene is involved in the synthesis of asparagine. This gene complements a mutation in the temperature-sensitive hamster mutant </w:t>
      </w:r>
      <w:proofErr w:type="spellStart"/>
      <w:r>
        <w:t>ts11</w:t>
      </w:r>
      <w:proofErr w:type="spellEnd"/>
      <w:r>
        <w:t xml:space="preserve">, which blocks progression through the </w:t>
      </w:r>
      <w:proofErr w:type="spellStart"/>
      <w:r>
        <w:t>G1</w:t>
      </w:r>
      <w:proofErr w:type="spellEnd"/>
      <w:r>
        <w:t xml:space="preserve"> phase of the cell cycle at nonpermissive temperature. </w:t>
      </w:r>
      <w:proofErr w:type="gramStart"/>
      <w:r>
        <w:t>Alternatively</w:t>
      </w:r>
      <w:proofErr w:type="gramEnd"/>
      <w:r>
        <w:t xml:space="preserve"> spliced transcript variants have been described for this gene. [provided by </w:t>
      </w:r>
      <w:proofErr w:type="spellStart"/>
      <w:r>
        <w:t>RefSeq</w:t>
      </w:r>
      <w:proofErr w:type="spellEnd"/>
      <w:r>
        <w:t>, May 2010]</w:t>
      </w:r>
    </w:p>
    <w:p w14:paraId="442FB319" w14:textId="77777777" w:rsidR="004C3077" w:rsidRDefault="004C3077" w:rsidP="004C3077">
      <w:pPr>
        <w:pStyle w:val="bmdsTblFootnote"/>
      </w:pPr>
      <w:proofErr w:type="spellStart"/>
      <w:r>
        <w:rPr>
          <w:b/>
        </w:rPr>
        <w:t>A2m</w:t>
      </w:r>
      <w:proofErr w:type="spellEnd"/>
      <w:r>
        <w:rPr>
          <w:b/>
        </w:rPr>
        <w:t>:</w:t>
      </w:r>
      <w:r>
        <w:rPr>
          <w:i/>
        </w:rPr>
        <w:t xml:space="preserve"> Human </w:t>
      </w:r>
      <w:proofErr w:type="spellStart"/>
      <w:r>
        <w:rPr>
          <w:i/>
        </w:rPr>
        <w:t>Uniprot</w:t>
      </w:r>
      <w:proofErr w:type="spellEnd"/>
      <w:r>
        <w:rPr>
          <w:i/>
        </w:rPr>
        <w:t xml:space="preserve"> function (Human A2M):</w:t>
      </w:r>
      <w:r>
        <w:t xml:space="preserve"> </w:t>
      </w:r>
      <w:proofErr w:type="gramStart"/>
      <w:r>
        <w:t>Is able to</w:t>
      </w:r>
      <w:proofErr w:type="gramEnd"/>
      <w:r>
        <w:t xml:space="preserve"> inhibit all four classes of proteinases by a unique 'trapping' mechanism. This protein has a peptide stretch, called the 'bait region' which contains specific cleavage sites for different proteinases. When a proteinase cleaves the bait region, a conformational change is induced in the protein which traps the proteinase. The entrapped enzyme remains active against low molecular weight substrates (activity against high molecular weight substrates is greatly reduced). Following cleavage in the bait region, a thioester bond is hydrolyzed and mediates the covalent binding of the protein to the proteinase.</w:t>
      </w:r>
    </w:p>
    <w:p w14:paraId="74F6A3E4" w14:textId="77777777" w:rsidR="004C3077" w:rsidRDefault="004C3077" w:rsidP="004C3077">
      <w:pPr>
        <w:pStyle w:val="bmdsTblFootnote"/>
      </w:pPr>
      <w:r>
        <w:rPr>
          <w:b/>
        </w:rPr>
        <w:t>LOC100911545:</w:t>
      </w:r>
      <w:r>
        <w:rPr>
          <w:i/>
        </w:rPr>
        <w:t xml:space="preserve"> Human </w:t>
      </w:r>
      <w:proofErr w:type="spellStart"/>
      <w:r>
        <w:rPr>
          <w:i/>
        </w:rPr>
        <w:t>Uniprot</w:t>
      </w:r>
      <w:proofErr w:type="spellEnd"/>
      <w:r>
        <w:rPr>
          <w:i/>
        </w:rPr>
        <w:t xml:space="preserve"> function (Human A2M):</w:t>
      </w:r>
      <w:r>
        <w:t xml:space="preserve"> </w:t>
      </w:r>
      <w:proofErr w:type="gramStart"/>
      <w:r>
        <w:t>Is able to</w:t>
      </w:r>
      <w:proofErr w:type="gramEnd"/>
      <w:r>
        <w:t xml:space="preserve"> inhibit all four classes of proteinases by a unique 'trapping' mechanism. This protein has a peptide stretch, called the 'bait region' which contains specific cleavage sites for different proteinases. When a proteinase cleaves the bait region, a conformational change is induced in the protein which traps the proteinase. The entrapped enzyme remains active against low molecular weight substrates (activity against high molecular weight </w:t>
      </w:r>
      <w:r>
        <w:lastRenderedPageBreak/>
        <w:t>substrates is greatly reduced). Following cleavage in the bait region, a thioester bond is hydrolyzed and mediates the covalent binding of the protein to the proteinase. A2MG_</w:t>
      </w:r>
      <w:proofErr w:type="gramStart"/>
      <w:r>
        <w:t>HUMAN,P</w:t>
      </w:r>
      <w:proofErr w:type="gramEnd"/>
      <w:r>
        <w:t>01023</w:t>
      </w:r>
    </w:p>
    <w:p w14:paraId="34FA4B8E" w14:textId="77777777" w:rsidR="004C3077" w:rsidRDefault="004C3077" w:rsidP="004C3077">
      <w:pPr>
        <w:pStyle w:val="bmdsTblFootnote"/>
      </w:pPr>
      <w:proofErr w:type="spellStart"/>
      <w:r>
        <w:rPr>
          <w:b/>
        </w:rPr>
        <w:t>Nr1d2</w:t>
      </w:r>
      <w:proofErr w:type="spellEnd"/>
      <w:r>
        <w:rPr>
          <w:b/>
        </w:rPr>
        <w:t>:</w:t>
      </w:r>
      <w:r>
        <w:rPr>
          <w:i/>
        </w:rPr>
        <w:t xml:space="preserve"> Human </w:t>
      </w:r>
      <w:proofErr w:type="spellStart"/>
      <w:r>
        <w:rPr>
          <w:i/>
        </w:rPr>
        <w:t>Uniprot</w:t>
      </w:r>
      <w:proofErr w:type="spellEnd"/>
      <w:r>
        <w:rPr>
          <w:i/>
        </w:rPr>
        <w:t xml:space="preserve"> function (Human NR1D2):</w:t>
      </w:r>
      <w:r>
        <w:t xml:space="preserve"> Transcriptional repressor which coordinates circadian rhythm and metabolic pathways in a heme-dependent manner. Integral component of the complex transcription machinery that governs circadian rhythmicity and forms a critical negative limb of the circadian clock by directly repressing the expression of core clock components ARNTL/BMAL1 and CLOCK. Also regulates genes involved in metabolic functions, including lipid metabolism and the inflammatory response. Acts as a receptor for heme which stimulates its interaction with the NCOR1/HDAC3 corepressor complex, enhancing transcriptional repression. Recognizes two classes of DNA response elements within the promoter of its target genes and can bind to DNA as either monomers or homodimers, depending on the nature of the response element. Binds as a monomer to a response element composed of the consensus half-site motif 5'-[A/G]GGTCA-3' preceded by an A/T-rich 5' sequence (</w:t>
      </w:r>
      <w:proofErr w:type="spellStart"/>
      <w:r>
        <w:t>RevRE</w:t>
      </w:r>
      <w:proofErr w:type="spellEnd"/>
      <w:r>
        <w:t xml:space="preserve">), or as a homodimer to a direct repeat of the core motif spaced by two </w:t>
      </w:r>
      <w:proofErr w:type="spellStart"/>
      <w:r>
        <w:t>nuclegotides</w:t>
      </w:r>
      <w:proofErr w:type="spellEnd"/>
      <w:r>
        <w:t xml:space="preserve"> (</w:t>
      </w:r>
      <w:proofErr w:type="spellStart"/>
      <w:r>
        <w:t>RevDR</w:t>
      </w:r>
      <w:proofErr w:type="spellEnd"/>
      <w:r>
        <w:t xml:space="preserve">-2). Acts as a potent competitive repressor of ROR alpha (RORA) function </w:t>
      </w:r>
      <w:proofErr w:type="gramStart"/>
      <w:r>
        <w:t>and also</w:t>
      </w:r>
      <w:proofErr w:type="gramEnd"/>
      <w:r>
        <w:t xml:space="preserve"> negatively regulates the expression of NR1D1. Regulates lipid and energy homeostasis in the skeletal muscle via repression of genes involved in lipid metabolism and myogenesis including CD36, FABP3, FABP4, UCP3, SCD1 and MSTN. Regulates hepatic lipid metabolism via the repression of APOC3. Represses gene expression at a distance in macrophages by inhibiting the transcription of </w:t>
      </w:r>
      <w:proofErr w:type="gramStart"/>
      <w:r>
        <w:t>enhancer-derived</w:t>
      </w:r>
      <w:proofErr w:type="gramEnd"/>
      <w:r>
        <w:t xml:space="preserve"> RNAs (</w:t>
      </w:r>
      <w:proofErr w:type="spellStart"/>
      <w:r>
        <w:t>eRNAs</w:t>
      </w:r>
      <w:proofErr w:type="spellEnd"/>
      <w:r>
        <w:t>). In addition to its activity as a repressor, can also act as a transcriptional activator. Acts as a transcriptional activator of the sterol regulatory element-binding protein 1 (SREBF1) and the inflammatory mediator interleukin-6 (IL6) in the skeletal muscle (By similarity). Plays a role in the regulation of circadian sleep/wake cycle; essential for maintaining wakefulness during the dark phase or active period (By similarity). Key regulator of skeletal muscle mitochondrial function; negatively regulates the skeletal muscle expression of core clock genes and genes involved in mitochondrial biogenesis, fatty acid beta-oxidation and lipid metabolism (By similarity). May play a role in the circadian control of neutrophilic inflammation in the lung (By similarity). {</w:t>
      </w:r>
      <w:proofErr w:type="spellStart"/>
      <w:r>
        <w:t>ECO0000250|UniProtKBQ60674</w:t>
      </w:r>
      <w:proofErr w:type="spellEnd"/>
      <w:r>
        <w:t xml:space="preserve">, </w:t>
      </w:r>
      <w:proofErr w:type="spellStart"/>
      <w:r>
        <w:t>ECO0000269|PubMed17892483</w:t>
      </w:r>
      <w:proofErr w:type="spellEnd"/>
      <w:r>
        <w:t xml:space="preserve">, </w:t>
      </w:r>
      <w:proofErr w:type="spellStart"/>
      <w:r>
        <w:t>ECO0000269|PubMed17996965</w:t>
      </w:r>
      <w:proofErr w:type="spellEnd"/>
      <w:r>
        <w:t>}.</w:t>
      </w:r>
    </w:p>
    <w:p w14:paraId="01314574" w14:textId="77777777" w:rsidR="004C3077" w:rsidRDefault="004C3077" w:rsidP="004C3077">
      <w:pPr>
        <w:pStyle w:val="bmdsTblFootnote"/>
      </w:pPr>
      <w:proofErr w:type="spellStart"/>
      <w:r>
        <w:rPr>
          <w:b/>
        </w:rPr>
        <w:t>Sez6</w:t>
      </w:r>
      <w:proofErr w:type="spellEnd"/>
      <w:r>
        <w:rPr>
          <w:b/>
        </w:rPr>
        <w:t>:</w:t>
      </w:r>
      <w:r>
        <w:rPr>
          <w:i/>
        </w:rPr>
        <w:t xml:space="preserve"> Human </w:t>
      </w:r>
      <w:proofErr w:type="spellStart"/>
      <w:r>
        <w:rPr>
          <w:i/>
        </w:rPr>
        <w:t>Uniprot</w:t>
      </w:r>
      <w:proofErr w:type="spellEnd"/>
      <w:r>
        <w:rPr>
          <w:i/>
        </w:rPr>
        <w:t xml:space="preserve"> function (Human SEZ6):</w:t>
      </w:r>
      <w:r>
        <w:t xml:space="preserve"> May play a role in cell-cell recognition and in neuronal membrane signaling. Seems to be important for the achievement of the necessary balance between dendrite elongation and branching during the elaboration of a complex dendritic arbor. Involved in the development of appropriate excitatory synaptic connectivity (By similarity). {ECO0000250}.</w:t>
      </w:r>
    </w:p>
    <w:p w14:paraId="74B05744" w14:textId="77777777" w:rsidR="00C505B6" w:rsidRDefault="00E214D5"/>
    <w:sectPr w:rsidR="00C5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3D"/>
    <w:rsid w:val="0010193D"/>
    <w:rsid w:val="0021102E"/>
    <w:rsid w:val="004C3077"/>
    <w:rsid w:val="00DE472E"/>
    <w:rsid w:val="00E214D5"/>
    <w:rsid w:val="00F5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A8CA"/>
  <w15:chartTrackingRefBased/>
  <w15:docId w15:val="{98C521CA-F753-4772-8BE5-C8422ED6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77"/>
    <w:pPr>
      <w:spacing w:after="0" w:line="240" w:lineRule="auto"/>
    </w:pPr>
    <w:rPr>
      <w:sz w:val="24"/>
      <w:szCs w:val="24"/>
    </w:rPr>
  </w:style>
  <w:style w:type="paragraph" w:styleId="Heading3">
    <w:name w:val="heading 3"/>
    <w:basedOn w:val="Normal"/>
    <w:next w:val="Normal"/>
    <w:link w:val="Heading3Char"/>
    <w:uiPriority w:val="9"/>
    <w:semiHidden/>
    <w:unhideWhenUsed/>
    <w:qFormat/>
    <w:rsid w:val="004C3077"/>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C3077"/>
    <w:rPr>
      <w:rFonts w:eastAsiaTheme="majorEastAsia" w:cstheme="majorBidi"/>
      <w:b/>
      <w:color w:val="000000" w:themeColor="text1"/>
      <w:sz w:val="24"/>
      <w:szCs w:val="24"/>
    </w:rPr>
  </w:style>
  <w:style w:type="character" w:styleId="Hyperlink">
    <w:name w:val="Hyperlink"/>
    <w:basedOn w:val="DefaultParagraphFont"/>
    <w:uiPriority w:val="99"/>
    <w:semiHidden/>
    <w:unhideWhenUsed/>
    <w:rsid w:val="004C3077"/>
    <w:rPr>
      <w:color w:val="0563C1"/>
      <w:u w:val="single"/>
    </w:rPr>
  </w:style>
  <w:style w:type="paragraph" w:customStyle="1" w:styleId="bmdsTblBody">
    <w:name w:val="bmdsTblBody"/>
    <w:basedOn w:val="Normal"/>
    <w:qFormat/>
    <w:rsid w:val="004C3077"/>
    <w:rPr>
      <w:rFonts w:ascii="Times New Roman" w:hAnsi="Times New Roman"/>
      <w:sz w:val="18"/>
    </w:rPr>
  </w:style>
  <w:style w:type="paragraph" w:customStyle="1" w:styleId="bmdsTblFootnote">
    <w:name w:val="bmdsTblFootnote"/>
    <w:basedOn w:val="bmdsTblBody"/>
    <w:qFormat/>
    <w:rsid w:val="004C3077"/>
  </w:style>
  <w:style w:type="paragraph" w:customStyle="1" w:styleId="bmdsTblHeader">
    <w:name w:val="bmdsTblHeader"/>
    <w:basedOn w:val="bmdsTblBody"/>
    <w:qFormat/>
    <w:rsid w:val="004C30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ge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prot.org/uniprot/" TargetMode="External"/><Relationship Id="rId5" Type="http://schemas.openxmlformats.org/officeDocument/2006/relationships/hyperlink" Target="https://www.ncbi.nlm.nih.gov/gene/" TargetMode="External"/><Relationship Id="rId4" Type="http://schemas.openxmlformats.org/officeDocument/2006/relationships/hyperlink" Target="https://www.uniprot.org/unipro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2392</Words>
  <Characters>13636</Characters>
  <Application>Microsoft Office Word</Application>
  <DocSecurity>0</DocSecurity>
  <Lines>113</Lines>
  <Paragraphs>31</Paragraphs>
  <ScaleCrop>false</ScaleCrop>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Shihan (NIH/NIEHS) [C]</dc:creator>
  <cp:keywords/>
  <dc:description/>
  <cp:lastModifiedBy>He, Shihan (NIH/NIEHS) [C]</cp:lastModifiedBy>
  <cp:revision>4</cp:revision>
  <dcterms:created xsi:type="dcterms:W3CDTF">2021-05-26T07:28:00Z</dcterms:created>
  <dcterms:modified xsi:type="dcterms:W3CDTF">2021-07-27T13:30:00Z</dcterms:modified>
</cp:coreProperties>
</file>