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D395" w14:textId="77777777" w:rsidR="00482564" w:rsidRDefault="00482564" w:rsidP="00482564">
      <w:pPr>
        <w:pStyle w:val="Heading3"/>
      </w:pPr>
      <w:r>
        <w:t>Male Liver Top 10 Genes Ranked by Potency of Perturbation (Sorted by BMD Median)</w:t>
      </w:r>
    </w:p>
    <w:tbl>
      <w:tblPr>
        <w:tblW w:w="0" w:type="auto"/>
        <w:tblLook w:val="04A0" w:firstRow="1" w:lastRow="0" w:firstColumn="1" w:lastColumn="0" w:noHBand="0" w:noVBand="1"/>
      </w:tblPr>
      <w:tblGrid>
        <w:gridCol w:w="1941"/>
        <w:gridCol w:w="1230"/>
        <w:gridCol w:w="1737"/>
        <w:gridCol w:w="1468"/>
        <w:gridCol w:w="1470"/>
        <w:gridCol w:w="1514"/>
      </w:tblGrid>
      <w:tr w:rsidR="00482564" w14:paraId="12A39805" w14:textId="77777777" w:rsidTr="00482564">
        <w:tc>
          <w:tcPr>
            <w:tcW w:w="1941" w:type="dxa"/>
            <w:tcBorders>
              <w:top w:val="single" w:sz="2" w:space="0" w:color="000000"/>
              <w:left w:val="nil"/>
              <w:bottom w:val="single" w:sz="2" w:space="0" w:color="000000"/>
              <w:right w:val="nil"/>
            </w:tcBorders>
            <w:vAlign w:val="center"/>
            <w:hideMark/>
          </w:tcPr>
          <w:p w14:paraId="3185D6B1" w14:textId="77777777" w:rsidR="00482564" w:rsidRDefault="00482564">
            <w:pPr>
              <w:pStyle w:val="bmdsTblBody"/>
            </w:pPr>
            <w:r>
              <w:rPr>
                <w:b/>
              </w:rPr>
              <w:t>Gene Symbol</w:t>
            </w:r>
          </w:p>
        </w:tc>
        <w:tc>
          <w:tcPr>
            <w:tcW w:w="1230" w:type="dxa"/>
            <w:tcBorders>
              <w:top w:val="single" w:sz="2" w:space="0" w:color="000000"/>
              <w:left w:val="nil"/>
              <w:bottom w:val="single" w:sz="2" w:space="0" w:color="000000"/>
              <w:right w:val="nil"/>
            </w:tcBorders>
            <w:vAlign w:val="center"/>
            <w:hideMark/>
          </w:tcPr>
          <w:p w14:paraId="768A1CCA" w14:textId="77777777" w:rsidR="00482564" w:rsidRDefault="00482564">
            <w:pPr>
              <w:pStyle w:val="bmdsTblHeader"/>
              <w:jc w:val="center"/>
            </w:pPr>
            <w:r>
              <w:t>Entrez Gene IDs</w:t>
            </w:r>
          </w:p>
        </w:tc>
        <w:tc>
          <w:tcPr>
            <w:tcW w:w="1737" w:type="dxa"/>
            <w:tcBorders>
              <w:top w:val="single" w:sz="2" w:space="0" w:color="000000"/>
              <w:left w:val="nil"/>
              <w:bottom w:val="single" w:sz="2" w:space="0" w:color="000000"/>
              <w:right w:val="nil"/>
            </w:tcBorders>
            <w:vAlign w:val="center"/>
            <w:hideMark/>
          </w:tcPr>
          <w:p w14:paraId="2B7F5F14" w14:textId="77777777" w:rsidR="00482564" w:rsidRDefault="00482564">
            <w:pPr>
              <w:pStyle w:val="bmdsTblHeader"/>
              <w:jc w:val="center"/>
            </w:pPr>
            <w:r>
              <w:t>Probe IDs</w:t>
            </w:r>
          </w:p>
        </w:tc>
        <w:tc>
          <w:tcPr>
            <w:tcW w:w="1468" w:type="dxa"/>
            <w:tcBorders>
              <w:top w:val="single" w:sz="2" w:space="0" w:color="000000"/>
              <w:left w:val="nil"/>
              <w:bottom w:val="single" w:sz="2" w:space="0" w:color="000000"/>
              <w:right w:val="nil"/>
            </w:tcBorders>
            <w:vAlign w:val="center"/>
            <w:hideMark/>
          </w:tcPr>
          <w:p w14:paraId="506F591B" w14:textId="77777777" w:rsidR="00482564" w:rsidRDefault="00482564">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70" w:type="dxa"/>
            <w:tcBorders>
              <w:top w:val="single" w:sz="2" w:space="0" w:color="000000"/>
              <w:left w:val="nil"/>
              <w:bottom w:val="single" w:sz="2" w:space="0" w:color="000000"/>
              <w:right w:val="nil"/>
            </w:tcBorders>
            <w:vAlign w:val="center"/>
            <w:hideMark/>
          </w:tcPr>
          <w:p w14:paraId="5ABA4EA7" w14:textId="77777777" w:rsidR="00482564" w:rsidRDefault="00482564">
            <w:pPr>
              <w:pStyle w:val="bmdsTblHeader"/>
              <w:jc w:val="center"/>
            </w:pPr>
            <w:r>
              <w:t>Maximum Fold Change</w:t>
            </w:r>
          </w:p>
        </w:tc>
        <w:tc>
          <w:tcPr>
            <w:tcW w:w="1514" w:type="dxa"/>
            <w:tcBorders>
              <w:top w:val="single" w:sz="2" w:space="0" w:color="000000"/>
              <w:left w:val="nil"/>
              <w:bottom w:val="single" w:sz="2" w:space="0" w:color="000000"/>
              <w:right w:val="nil"/>
            </w:tcBorders>
            <w:vAlign w:val="center"/>
            <w:hideMark/>
          </w:tcPr>
          <w:p w14:paraId="38684173" w14:textId="77777777" w:rsidR="00482564" w:rsidRDefault="00482564">
            <w:pPr>
              <w:pStyle w:val="bmdsTblHeader"/>
              <w:jc w:val="center"/>
            </w:pPr>
            <w:r>
              <w:t>Direction of Expression Change</w:t>
            </w:r>
          </w:p>
        </w:tc>
      </w:tr>
      <w:tr w:rsidR="00482564" w14:paraId="6BC2AA9C" w14:textId="77777777" w:rsidTr="00482564">
        <w:tc>
          <w:tcPr>
            <w:tcW w:w="1941" w:type="dxa"/>
            <w:vAlign w:val="center"/>
            <w:hideMark/>
          </w:tcPr>
          <w:p w14:paraId="290BB6FC" w14:textId="77777777" w:rsidR="00482564" w:rsidRDefault="00482564">
            <w:pPr>
              <w:pStyle w:val="bmdsTblBody"/>
            </w:pPr>
            <w:proofErr w:type="spellStart"/>
            <w:r>
              <w:rPr>
                <w:b/>
              </w:rPr>
              <w:t>egr1</w:t>
            </w:r>
            <w:proofErr w:type="spellEnd"/>
          </w:p>
        </w:tc>
        <w:tc>
          <w:tcPr>
            <w:tcW w:w="1230" w:type="dxa"/>
            <w:vAlign w:val="center"/>
            <w:hideMark/>
          </w:tcPr>
          <w:p w14:paraId="417799BE" w14:textId="77777777" w:rsidR="00482564" w:rsidRDefault="00482564">
            <w:pPr>
              <w:pStyle w:val="bmdsTblBody"/>
              <w:jc w:val="center"/>
            </w:pPr>
            <w:r>
              <w:rPr>
                <w:sz w:val="16"/>
              </w:rPr>
              <w:t>24330</w:t>
            </w:r>
          </w:p>
        </w:tc>
        <w:tc>
          <w:tcPr>
            <w:tcW w:w="1737" w:type="dxa"/>
            <w:vAlign w:val="center"/>
            <w:hideMark/>
          </w:tcPr>
          <w:p w14:paraId="2451F0B5" w14:textId="77777777" w:rsidR="00482564" w:rsidRDefault="00482564">
            <w:pPr>
              <w:pStyle w:val="bmdsTblBody"/>
              <w:jc w:val="center"/>
            </w:pPr>
            <w:r>
              <w:rPr>
                <w:sz w:val="16"/>
              </w:rPr>
              <w:t>EGR1_8533</w:t>
            </w:r>
          </w:p>
        </w:tc>
        <w:tc>
          <w:tcPr>
            <w:tcW w:w="1468" w:type="dxa"/>
            <w:vAlign w:val="center"/>
            <w:hideMark/>
          </w:tcPr>
          <w:p w14:paraId="768C0BB2" w14:textId="77777777" w:rsidR="00482564" w:rsidRDefault="00482564">
            <w:pPr>
              <w:pStyle w:val="bmdsTblBody"/>
              <w:jc w:val="center"/>
            </w:pPr>
            <w:r>
              <w:rPr>
                <w:sz w:val="16"/>
              </w:rPr>
              <w:t>0.750 (0.186-4.702)</w:t>
            </w:r>
          </w:p>
        </w:tc>
        <w:tc>
          <w:tcPr>
            <w:tcW w:w="1470" w:type="dxa"/>
            <w:vAlign w:val="center"/>
            <w:hideMark/>
          </w:tcPr>
          <w:p w14:paraId="75A9917D" w14:textId="77777777" w:rsidR="00482564" w:rsidRDefault="00482564">
            <w:pPr>
              <w:pStyle w:val="bmdsTblBody"/>
              <w:jc w:val="center"/>
            </w:pPr>
            <w:r>
              <w:rPr>
                <w:sz w:val="16"/>
              </w:rPr>
              <w:t>4.2</w:t>
            </w:r>
          </w:p>
        </w:tc>
        <w:tc>
          <w:tcPr>
            <w:tcW w:w="1514" w:type="dxa"/>
            <w:vAlign w:val="center"/>
            <w:hideMark/>
          </w:tcPr>
          <w:p w14:paraId="053F62EC" w14:textId="77777777" w:rsidR="00482564" w:rsidRDefault="00482564">
            <w:pPr>
              <w:pStyle w:val="bmdsTblBody"/>
              <w:jc w:val="center"/>
            </w:pPr>
            <w:r>
              <w:rPr>
                <w:sz w:val="16"/>
              </w:rPr>
              <w:t>DOWN</w:t>
            </w:r>
          </w:p>
        </w:tc>
      </w:tr>
      <w:tr w:rsidR="00482564" w14:paraId="7B7DFDD8" w14:textId="77777777" w:rsidTr="00482564">
        <w:tc>
          <w:tcPr>
            <w:tcW w:w="1941" w:type="dxa"/>
            <w:vAlign w:val="center"/>
            <w:hideMark/>
          </w:tcPr>
          <w:p w14:paraId="26180953" w14:textId="77777777" w:rsidR="00482564" w:rsidRDefault="00482564">
            <w:pPr>
              <w:pStyle w:val="bmdsTblBody"/>
            </w:pPr>
            <w:proofErr w:type="spellStart"/>
            <w:r>
              <w:rPr>
                <w:b/>
              </w:rPr>
              <w:t>zfp354a</w:t>
            </w:r>
            <w:proofErr w:type="spellEnd"/>
          </w:p>
        </w:tc>
        <w:tc>
          <w:tcPr>
            <w:tcW w:w="1230" w:type="dxa"/>
            <w:vAlign w:val="center"/>
            <w:hideMark/>
          </w:tcPr>
          <w:p w14:paraId="032A894D" w14:textId="77777777" w:rsidR="00482564" w:rsidRDefault="00482564">
            <w:pPr>
              <w:pStyle w:val="bmdsTblBody"/>
              <w:jc w:val="center"/>
            </w:pPr>
            <w:r>
              <w:rPr>
                <w:sz w:val="16"/>
              </w:rPr>
              <w:t>24522</w:t>
            </w:r>
          </w:p>
        </w:tc>
        <w:tc>
          <w:tcPr>
            <w:tcW w:w="1737" w:type="dxa"/>
            <w:vAlign w:val="center"/>
            <w:hideMark/>
          </w:tcPr>
          <w:p w14:paraId="11E201C7" w14:textId="77777777" w:rsidR="00482564" w:rsidRDefault="00482564">
            <w:pPr>
              <w:pStyle w:val="bmdsTblBody"/>
              <w:jc w:val="center"/>
            </w:pPr>
            <w:r>
              <w:rPr>
                <w:sz w:val="16"/>
              </w:rPr>
              <w:t>ZFP354A_10203</w:t>
            </w:r>
          </w:p>
        </w:tc>
        <w:tc>
          <w:tcPr>
            <w:tcW w:w="1468" w:type="dxa"/>
            <w:vAlign w:val="center"/>
            <w:hideMark/>
          </w:tcPr>
          <w:p w14:paraId="266AE89E" w14:textId="77777777" w:rsidR="00482564" w:rsidRDefault="00482564">
            <w:pPr>
              <w:pStyle w:val="bmdsTblBody"/>
              <w:jc w:val="center"/>
            </w:pPr>
            <w:r>
              <w:rPr>
                <w:sz w:val="16"/>
              </w:rPr>
              <w:t>0.835 (0.271-2.999)</w:t>
            </w:r>
          </w:p>
        </w:tc>
        <w:tc>
          <w:tcPr>
            <w:tcW w:w="1470" w:type="dxa"/>
            <w:vAlign w:val="center"/>
            <w:hideMark/>
          </w:tcPr>
          <w:p w14:paraId="6E6ABE27" w14:textId="77777777" w:rsidR="00482564" w:rsidRDefault="00482564">
            <w:pPr>
              <w:pStyle w:val="bmdsTblBody"/>
              <w:jc w:val="center"/>
            </w:pPr>
            <w:r>
              <w:rPr>
                <w:sz w:val="16"/>
              </w:rPr>
              <w:t>4.6</w:t>
            </w:r>
          </w:p>
        </w:tc>
        <w:tc>
          <w:tcPr>
            <w:tcW w:w="1514" w:type="dxa"/>
            <w:vAlign w:val="center"/>
            <w:hideMark/>
          </w:tcPr>
          <w:p w14:paraId="100DC652" w14:textId="77777777" w:rsidR="00482564" w:rsidRDefault="00482564">
            <w:pPr>
              <w:pStyle w:val="bmdsTblBody"/>
              <w:jc w:val="center"/>
            </w:pPr>
            <w:r>
              <w:rPr>
                <w:sz w:val="16"/>
              </w:rPr>
              <w:t>DOWN</w:t>
            </w:r>
          </w:p>
        </w:tc>
      </w:tr>
      <w:tr w:rsidR="00482564" w14:paraId="2B732135" w14:textId="77777777" w:rsidTr="00482564">
        <w:tc>
          <w:tcPr>
            <w:tcW w:w="1941" w:type="dxa"/>
            <w:vAlign w:val="center"/>
            <w:hideMark/>
          </w:tcPr>
          <w:p w14:paraId="2B80414E" w14:textId="77777777" w:rsidR="00482564" w:rsidRDefault="00482564">
            <w:pPr>
              <w:pStyle w:val="bmdsTblBody"/>
            </w:pPr>
            <w:proofErr w:type="spellStart"/>
            <w:r>
              <w:rPr>
                <w:b/>
              </w:rPr>
              <w:t>tsku</w:t>
            </w:r>
            <w:proofErr w:type="spellEnd"/>
          </w:p>
        </w:tc>
        <w:tc>
          <w:tcPr>
            <w:tcW w:w="1230" w:type="dxa"/>
            <w:vAlign w:val="center"/>
            <w:hideMark/>
          </w:tcPr>
          <w:p w14:paraId="72560E4C" w14:textId="77777777" w:rsidR="00482564" w:rsidRDefault="00482564">
            <w:pPr>
              <w:pStyle w:val="bmdsTblBody"/>
              <w:jc w:val="center"/>
            </w:pPr>
            <w:r>
              <w:rPr>
                <w:sz w:val="16"/>
              </w:rPr>
              <w:t>308843</w:t>
            </w:r>
          </w:p>
        </w:tc>
        <w:tc>
          <w:tcPr>
            <w:tcW w:w="1737" w:type="dxa"/>
            <w:vAlign w:val="center"/>
            <w:hideMark/>
          </w:tcPr>
          <w:p w14:paraId="6A6F65F4" w14:textId="77777777" w:rsidR="00482564" w:rsidRDefault="00482564">
            <w:pPr>
              <w:pStyle w:val="bmdsTblBody"/>
              <w:jc w:val="center"/>
            </w:pPr>
            <w:r>
              <w:rPr>
                <w:sz w:val="16"/>
              </w:rPr>
              <w:t>TSKU_10094</w:t>
            </w:r>
          </w:p>
        </w:tc>
        <w:tc>
          <w:tcPr>
            <w:tcW w:w="1468" w:type="dxa"/>
            <w:vAlign w:val="center"/>
            <w:hideMark/>
          </w:tcPr>
          <w:p w14:paraId="4EA734A8" w14:textId="77777777" w:rsidR="00482564" w:rsidRDefault="00482564">
            <w:pPr>
              <w:pStyle w:val="bmdsTblBody"/>
              <w:jc w:val="center"/>
            </w:pPr>
            <w:r>
              <w:rPr>
                <w:sz w:val="16"/>
              </w:rPr>
              <w:t>1.384 (0.541-4.109)</w:t>
            </w:r>
          </w:p>
        </w:tc>
        <w:tc>
          <w:tcPr>
            <w:tcW w:w="1470" w:type="dxa"/>
            <w:vAlign w:val="center"/>
            <w:hideMark/>
          </w:tcPr>
          <w:p w14:paraId="7F9BE3E6" w14:textId="77777777" w:rsidR="00482564" w:rsidRDefault="00482564">
            <w:pPr>
              <w:pStyle w:val="bmdsTblBody"/>
              <w:jc w:val="center"/>
            </w:pPr>
            <w:r>
              <w:rPr>
                <w:sz w:val="16"/>
              </w:rPr>
              <w:t>3.0</w:t>
            </w:r>
          </w:p>
        </w:tc>
        <w:tc>
          <w:tcPr>
            <w:tcW w:w="1514" w:type="dxa"/>
            <w:vAlign w:val="center"/>
            <w:hideMark/>
          </w:tcPr>
          <w:p w14:paraId="1A82EAB7" w14:textId="77777777" w:rsidR="00482564" w:rsidRDefault="00482564">
            <w:pPr>
              <w:pStyle w:val="bmdsTblBody"/>
              <w:jc w:val="center"/>
            </w:pPr>
            <w:r>
              <w:rPr>
                <w:sz w:val="16"/>
              </w:rPr>
              <w:t>DOWN</w:t>
            </w:r>
          </w:p>
        </w:tc>
      </w:tr>
      <w:tr w:rsidR="00482564" w14:paraId="1DED7B6D" w14:textId="77777777" w:rsidTr="00482564">
        <w:tc>
          <w:tcPr>
            <w:tcW w:w="1941" w:type="dxa"/>
            <w:vAlign w:val="center"/>
            <w:hideMark/>
          </w:tcPr>
          <w:p w14:paraId="7ACDC6F7" w14:textId="77777777" w:rsidR="00482564" w:rsidRDefault="00482564">
            <w:pPr>
              <w:pStyle w:val="bmdsTblBody"/>
            </w:pPr>
            <w:proofErr w:type="spellStart"/>
            <w:r>
              <w:rPr>
                <w:b/>
              </w:rPr>
              <w:t>cyp7a1</w:t>
            </w:r>
            <w:proofErr w:type="spellEnd"/>
          </w:p>
        </w:tc>
        <w:tc>
          <w:tcPr>
            <w:tcW w:w="1230" w:type="dxa"/>
            <w:vAlign w:val="center"/>
            <w:hideMark/>
          </w:tcPr>
          <w:p w14:paraId="4356F455" w14:textId="77777777" w:rsidR="00482564" w:rsidRDefault="00482564">
            <w:pPr>
              <w:pStyle w:val="bmdsTblBody"/>
              <w:jc w:val="center"/>
            </w:pPr>
            <w:r>
              <w:rPr>
                <w:sz w:val="16"/>
              </w:rPr>
              <w:t>25428</w:t>
            </w:r>
          </w:p>
        </w:tc>
        <w:tc>
          <w:tcPr>
            <w:tcW w:w="1737" w:type="dxa"/>
            <w:vAlign w:val="center"/>
            <w:hideMark/>
          </w:tcPr>
          <w:p w14:paraId="79E82B6E" w14:textId="77777777" w:rsidR="00482564" w:rsidRDefault="00482564">
            <w:pPr>
              <w:pStyle w:val="bmdsTblBody"/>
              <w:jc w:val="center"/>
            </w:pPr>
            <w:r>
              <w:rPr>
                <w:sz w:val="16"/>
              </w:rPr>
              <w:t>CYP7A1_8430</w:t>
            </w:r>
          </w:p>
        </w:tc>
        <w:tc>
          <w:tcPr>
            <w:tcW w:w="1468" w:type="dxa"/>
            <w:vAlign w:val="center"/>
            <w:hideMark/>
          </w:tcPr>
          <w:p w14:paraId="5AD710E6" w14:textId="77777777" w:rsidR="00482564" w:rsidRDefault="00482564">
            <w:pPr>
              <w:pStyle w:val="bmdsTblBody"/>
              <w:jc w:val="center"/>
            </w:pPr>
            <w:r>
              <w:rPr>
                <w:sz w:val="16"/>
              </w:rPr>
              <w:t>5.721 (0.985-22.363)</w:t>
            </w:r>
          </w:p>
        </w:tc>
        <w:tc>
          <w:tcPr>
            <w:tcW w:w="1470" w:type="dxa"/>
            <w:vAlign w:val="center"/>
            <w:hideMark/>
          </w:tcPr>
          <w:p w14:paraId="07B01DCD" w14:textId="77777777" w:rsidR="00482564" w:rsidRDefault="00482564">
            <w:pPr>
              <w:pStyle w:val="bmdsTblBody"/>
              <w:jc w:val="center"/>
            </w:pPr>
            <w:r>
              <w:rPr>
                <w:sz w:val="16"/>
              </w:rPr>
              <w:t>4.6</w:t>
            </w:r>
          </w:p>
        </w:tc>
        <w:tc>
          <w:tcPr>
            <w:tcW w:w="1514" w:type="dxa"/>
            <w:vAlign w:val="center"/>
            <w:hideMark/>
          </w:tcPr>
          <w:p w14:paraId="0A73F793" w14:textId="77777777" w:rsidR="00482564" w:rsidRDefault="00482564">
            <w:pPr>
              <w:pStyle w:val="bmdsTblBody"/>
              <w:jc w:val="center"/>
            </w:pPr>
            <w:r>
              <w:rPr>
                <w:sz w:val="16"/>
              </w:rPr>
              <w:t>DOWN</w:t>
            </w:r>
          </w:p>
        </w:tc>
      </w:tr>
      <w:tr w:rsidR="00482564" w14:paraId="41D3442C" w14:textId="77777777" w:rsidTr="00482564">
        <w:tc>
          <w:tcPr>
            <w:tcW w:w="1941" w:type="dxa"/>
            <w:vAlign w:val="center"/>
            <w:hideMark/>
          </w:tcPr>
          <w:p w14:paraId="3AA4C0D7" w14:textId="77777777" w:rsidR="00482564" w:rsidRDefault="00482564">
            <w:pPr>
              <w:pStyle w:val="bmdsTblBody"/>
            </w:pPr>
            <w:proofErr w:type="spellStart"/>
            <w:r>
              <w:rPr>
                <w:b/>
              </w:rPr>
              <w:t>gsta2</w:t>
            </w:r>
            <w:proofErr w:type="spellEnd"/>
          </w:p>
        </w:tc>
        <w:tc>
          <w:tcPr>
            <w:tcW w:w="1230" w:type="dxa"/>
            <w:vAlign w:val="center"/>
            <w:hideMark/>
          </w:tcPr>
          <w:p w14:paraId="5D86D371" w14:textId="77777777" w:rsidR="00482564" w:rsidRDefault="00482564">
            <w:pPr>
              <w:pStyle w:val="bmdsTblBody"/>
              <w:jc w:val="center"/>
            </w:pPr>
            <w:r>
              <w:rPr>
                <w:sz w:val="16"/>
              </w:rPr>
              <w:t>24422</w:t>
            </w:r>
          </w:p>
        </w:tc>
        <w:tc>
          <w:tcPr>
            <w:tcW w:w="1737" w:type="dxa"/>
            <w:vAlign w:val="center"/>
            <w:hideMark/>
          </w:tcPr>
          <w:p w14:paraId="186A8001" w14:textId="77777777" w:rsidR="00482564" w:rsidRDefault="00482564">
            <w:pPr>
              <w:pStyle w:val="bmdsTblBody"/>
              <w:jc w:val="center"/>
            </w:pPr>
            <w:r>
              <w:rPr>
                <w:sz w:val="16"/>
              </w:rPr>
              <w:t>GSTA2_8756</w:t>
            </w:r>
          </w:p>
        </w:tc>
        <w:tc>
          <w:tcPr>
            <w:tcW w:w="1468" w:type="dxa"/>
            <w:vAlign w:val="center"/>
            <w:hideMark/>
          </w:tcPr>
          <w:p w14:paraId="48BD53B2" w14:textId="77777777" w:rsidR="00482564" w:rsidRDefault="00482564">
            <w:pPr>
              <w:pStyle w:val="bmdsTblBody"/>
              <w:jc w:val="center"/>
            </w:pPr>
            <w:r>
              <w:rPr>
                <w:sz w:val="16"/>
              </w:rPr>
              <w:t>5.725 (1.686-19.439)</w:t>
            </w:r>
          </w:p>
        </w:tc>
        <w:tc>
          <w:tcPr>
            <w:tcW w:w="1470" w:type="dxa"/>
            <w:vAlign w:val="center"/>
            <w:hideMark/>
          </w:tcPr>
          <w:p w14:paraId="2240A962" w14:textId="77777777" w:rsidR="00482564" w:rsidRDefault="00482564">
            <w:pPr>
              <w:pStyle w:val="bmdsTblBody"/>
              <w:jc w:val="center"/>
            </w:pPr>
            <w:r>
              <w:rPr>
                <w:sz w:val="16"/>
              </w:rPr>
              <w:t>2.3</w:t>
            </w:r>
          </w:p>
        </w:tc>
        <w:tc>
          <w:tcPr>
            <w:tcW w:w="1514" w:type="dxa"/>
            <w:vAlign w:val="center"/>
            <w:hideMark/>
          </w:tcPr>
          <w:p w14:paraId="25AEE6A6" w14:textId="77777777" w:rsidR="00482564" w:rsidRDefault="00482564">
            <w:pPr>
              <w:pStyle w:val="bmdsTblBody"/>
              <w:jc w:val="center"/>
            </w:pPr>
            <w:r>
              <w:rPr>
                <w:sz w:val="16"/>
              </w:rPr>
              <w:t>UP</w:t>
            </w:r>
          </w:p>
        </w:tc>
      </w:tr>
      <w:tr w:rsidR="00482564" w14:paraId="68C9B684" w14:textId="77777777" w:rsidTr="00482564">
        <w:tc>
          <w:tcPr>
            <w:tcW w:w="1941" w:type="dxa"/>
            <w:vAlign w:val="center"/>
            <w:hideMark/>
          </w:tcPr>
          <w:p w14:paraId="60EB2BF7" w14:textId="77777777" w:rsidR="00482564" w:rsidRDefault="00482564">
            <w:pPr>
              <w:pStyle w:val="bmdsTblBody"/>
            </w:pPr>
            <w:proofErr w:type="spellStart"/>
            <w:r>
              <w:rPr>
                <w:b/>
              </w:rPr>
              <w:t>gsta5</w:t>
            </w:r>
            <w:proofErr w:type="spellEnd"/>
          </w:p>
        </w:tc>
        <w:tc>
          <w:tcPr>
            <w:tcW w:w="1230" w:type="dxa"/>
            <w:vAlign w:val="center"/>
            <w:hideMark/>
          </w:tcPr>
          <w:p w14:paraId="390296B8" w14:textId="77777777" w:rsidR="00482564" w:rsidRDefault="00482564">
            <w:pPr>
              <w:pStyle w:val="bmdsTblBody"/>
              <w:jc w:val="center"/>
            </w:pPr>
            <w:r>
              <w:rPr>
                <w:sz w:val="16"/>
              </w:rPr>
              <w:t>494499</w:t>
            </w:r>
          </w:p>
        </w:tc>
        <w:tc>
          <w:tcPr>
            <w:tcW w:w="1737" w:type="dxa"/>
            <w:vAlign w:val="center"/>
            <w:hideMark/>
          </w:tcPr>
          <w:p w14:paraId="335CF194" w14:textId="77777777" w:rsidR="00482564" w:rsidRDefault="00482564">
            <w:pPr>
              <w:pStyle w:val="bmdsTblBody"/>
              <w:jc w:val="center"/>
            </w:pPr>
            <w:r>
              <w:rPr>
                <w:sz w:val="16"/>
              </w:rPr>
              <w:t>GSTA2_8756</w:t>
            </w:r>
          </w:p>
        </w:tc>
        <w:tc>
          <w:tcPr>
            <w:tcW w:w="1468" w:type="dxa"/>
            <w:vAlign w:val="center"/>
            <w:hideMark/>
          </w:tcPr>
          <w:p w14:paraId="0FAC815A" w14:textId="77777777" w:rsidR="00482564" w:rsidRDefault="00482564">
            <w:pPr>
              <w:pStyle w:val="bmdsTblBody"/>
              <w:jc w:val="center"/>
            </w:pPr>
            <w:r>
              <w:rPr>
                <w:sz w:val="16"/>
              </w:rPr>
              <w:t>5.725 (1.686-19.439)</w:t>
            </w:r>
          </w:p>
        </w:tc>
        <w:tc>
          <w:tcPr>
            <w:tcW w:w="1470" w:type="dxa"/>
            <w:vAlign w:val="center"/>
            <w:hideMark/>
          </w:tcPr>
          <w:p w14:paraId="67EB1137" w14:textId="77777777" w:rsidR="00482564" w:rsidRDefault="00482564">
            <w:pPr>
              <w:pStyle w:val="bmdsTblBody"/>
              <w:jc w:val="center"/>
            </w:pPr>
            <w:r>
              <w:rPr>
                <w:sz w:val="16"/>
              </w:rPr>
              <w:t>2.3</w:t>
            </w:r>
          </w:p>
        </w:tc>
        <w:tc>
          <w:tcPr>
            <w:tcW w:w="1514" w:type="dxa"/>
            <w:vAlign w:val="center"/>
            <w:hideMark/>
          </w:tcPr>
          <w:p w14:paraId="40005BAC" w14:textId="77777777" w:rsidR="00482564" w:rsidRDefault="00482564">
            <w:pPr>
              <w:pStyle w:val="bmdsTblBody"/>
              <w:jc w:val="center"/>
            </w:pPr>
            <w:r>
              <w:rPr>
                <w:sz w:val="16"/>
              </w:rPr>
              <w:t>UP</w:t>
            </w:r>
          </w:p>
        </w:tc>
      </w:tr>
      <w:tr w:rsidR="00482564" w14:paraId="49F704D5" w14:textId="77777777" w:rsidTr="00482564">
        <w:tc>
          <w:tcPr>
            <w:tcW w:w="1941" w:type="dxa"/>
            <w:vAlign w:val="center"/>
            <w:hideMark/>
          </w:tcPr>
          <w:p w14:paraId="1D6BC869" w14:textId="77777777" w:rsidR="00482564" w:rsidRDefault="00482564">
            <w:pPr>
              <w:pStyle w:val="bmdsTblBody"/>
            </w:pPr>
            <w:proofErr w:type="spellStart"/>
            <w:r>
              <w:rPr>
                <w:b/>
              </w:rPr>
              <w:t>crot</w:t>
            </w:r>
            <w:proofErr w:type="spellEnd"/>
          </w:p>
        </w:tc>
        <w:tc>
          <w:tcPr>
            <w:tcW w:w="1230" w:type="dxa"/>
            <w:vAlign w:val="center"/>
            <w:hideMark/>
          </w:tcPr>
          <w:p w14:paraId="4AF4318C" w14:textId="77777777" w:rsidR="00482564" w:rsidRDefault="00482564">
            <w:pPr>
              <w:pStyle w:val="bmdsTblBody"/>
              <w:jc w:val="center"/>
            </w:pPr>
            <w:r>
              <w:rPr>
                <w:sz w:val="16"/>
              </w:rPr>
              <w:t>83842</w:t>
            </w:r>
          </w:p>
        </w:tc>
        <w:tc>
          <w:tcPr>
            <w:tcW w:w="1737" w:type="dxa"/>
            <w:vAlign w:val="center"/>
            <w:hideMark/>
          </w:tcPr>
          <w:p w14:paraId="151D93B1" w14:textId="77777777" w:rsidR="00482564" w:rsidRDefault="00482564">
            <w:pPr>
              <w:pStyle w:val="bmdsTblBody"/>
              <w:jc w:val="center"/>
            </w:pPr>
            <w:r>
              <w:rPr>
                <w:sz w:val="16"/>
              </w:rPr>
              <w:t>CROT_8384</w:t>
            </w:r>
          </w:p>
        </w:tc>
        <w:tc>
          <w:tcPr>
            <w:tcW w:w="1468" w:type="dxa"/>
            <w:vAlign w:val="center"/>
            <w:hideMark/>
          </w:tcPr>
          <w:p w14:paraId="2AB799E2" w14:textId="77777777" w:rsidR="00482564" w:rsidRDefault="00482564">
            <w:pPr>
              <w:pStyle w:val="bmdsTblBody"/>
              <w:jc w:val="center"/>
            </w:pPr>
            <w:r>
              <w:rPr>
                <w:sz w:val="16"/>
              </w:rPr>
              <w:t>7.423 (5.757-10.316)</w:t>
            </w:r>
          </w:p>
        </w:tc>
        <w:tc>
          <w:tcPr>
            <w:tcW w:w="1470" w:type="dxa"/>
            <w:vAlign w:val="center"/>
            <w:hideMark/>
          </w:tcPr>
          <w:p w14:paraId="60974FDC" w14:textId="77777777" w:rsidR="00482564" w:rsidRDefault="00482564">
            <w:pPr>
              <w:pStyle w:val="bmdsTblBody"/>
              <w:jc w:val="center"/>
            </w:pPr>
            <w:r>
              <w:rPr>
                <w:sz w:val="16"/>
              </w:rPr>
              <w:t>6.0</w:t>
            </w:r>
          </w:p>
        </w:tc>
        <w:tc>
          <w:tcPr>
            <w:tcW w:w="1514" w:type="dxa"/>
            <w:vAlign w:val="center"/>
            <w:hideMark/>
          </w:tcPr>
          <w:p w14:paraId="27DFA62E" w14:textId="77777777" w:rsidR="00482564" w:rsidRDefault="00482564">
            <w:pPr>
              <w:pStyle w:val="bmdsTblBody"/>
              <w:jc w:val="center"/>
            </w:pPr>
            <w:r>
              <w:rPr>
                <w:sz w:val="16"/>
              </w:rPr>
              <w:t>UP</w:t>
            </w:r>
          </w:p>
        </w:tc>
      </w:tr>
      <w:tr w:rsidR="00482564" w14:paraId="5045250B" w14:textId="77777777" w:rsidTr="00482564">
        <w:tc>
          <w:tcPr>
            <w:tcW w:w="1941" w:type="dxa"/>
            <w:vAlign w:val="center"/>
            <w:hideMark/>
          </w:tcPr>
          <w:p w14:paraId="24813C38" w14:textId="77777777" w:rsidR="00482564" w:rsidRDefault="00482564">
            <w:pPr>
              <w:pStyle w:val="bmdsTblBody"/>
            </w:pPr>
            <w:proofErr w:type="spellStart"/>
            <w:r>
              <w:rPr>
                <w:b/>
              </w:rPr>
              <w:t>slc27a2</w:t>
            </w:r>
            <w:proofErr w:type="spellEnd"/>
          </w:p>
        </w:tc>
        <w:tc>
          <w:tcPr>
            <w:tcW w:w="1230" w:type="dxa"/>
            <w:vAlign w:val="center"/>
            <w:hideMark/>
          </w:tcPr>
          <w:p w14:paraId="0CEFE5D9" w14:textId="77777777" w:rsidR="00482564" w:rsidRDefault="00482564">
            <w:pPr>
              <w:pStyle w:val="bmdsTblBody"/>
              <w:jc w:val="center"/>
            </w:pPr>
            <w:r>
              <w:rPr>
                <w:sz w:val="16"/>
              </w:rPr>
              <w:t>65192</w:t>
            </w:r>
          </w:p>
        </w:tc>
        <w:tc>
          <w:tcPr>
            <w:tcW w:w="1737" w:type="dxa"/>
            <w:vAlign w:val="center"/>
            <w:hideMark/>
          </w:tcPr>
          <w:p w14:paraId="6A515D78" w14:textId="77777777" w:rsidR="00482564" w:rsidRDefault="00482564">
            <w:pPr>
              <w:pStyle w:val="bmdsTblBody"/>
              <w:jc w:val="center"/>
            </w:pPr>
            <w:r>
              <w:rPr>
                <w:sz w:val="16"/>
              </w:rPr>
              <w:t>SLC27A2_9860</w:t>
            </w:r>
          </w:p>
        </w:tc>
        <w:tc>
          <w:tcPr>
            <w:tcW w:w="1468" w:type="dxa"/>
            <w:vAlign w:val="center"/>
            <w:hideMark/>
          </w:tcPr>
          <w:p w14:paraId="4E7BA1CE" w14:textId="77777777" w:rsidR="00482564" w:rsidRDefault="00482564">
            <w:pPr>
              <w:pStyle w:val="bmdsTblBody"/>
              <w:jc w:val="center"/>
            </w:pPr>
            <w:r>
              <w:rPr>
                <w:sz w:val="16"/>
              </w:rPr>
              <w:t>7.622 (5.499-13.393)</w:t>
            </w:r>
          </w:p>
        </w:tc>
        <w:tc>
          <w:tcPr>
            <w:tcW w:w="1470" w:type="dxa"/>
            <w:vAlign w:val="center"/>
            <w:hideMark/>
          </w:tcPr>
          <w:p w14:paraId="77FB342C" w14:textId="77777777" w:rsidR="00482564" w:rsidRDefault="00482564">
            <w:pPr>
              <w:pStyle w:val="bmdsTblBody"/>
              <w:jc w:val="center"/>
            </w:pPr>
            <w:r>
              <w:rPr>
                <w:sz w:val="16"/>
              </w:rPr>
              <w:t>2.2</w:t>
            </w:r>
          </w:p>
        </w:tc>
        <w:tc>
          <w:tcPr>
            <w:tcW w:w="1514" w:type="dxa"/>
            <w:vAlign w:val="center"/>
            <w:hideMark/>
          </w:tcPr>
          <w:p w14:paraId="7B0D821A" w14:textId="77777777" w:rsidR="00482564" w:rsidRDefault="00482564">
            <w:pPr>
              <w:pStyle w:val="bmdsTblBody"/>
              <w:jc w:val="center"/>
            </w:pPr>
            <w:r>
              <w:rPr>
                <w:sz w:val="16"/>
              </w:rPr>
              <w:t>UP</w:t>
            </w:r>
          </w:p>
        </w:tc>
      </w:tr>
      <w:tr w:rsidR="00482564" w14:paraId="44DD62CA" w14:textId="77777777" w:rsidTr="00482564">
        <w:tc>
          <w:tcPr>
            <w:tcW w:w="1941" w:type="dxa"/>
            <w:vAlign w:val="center"/>
            <w:hideMark/>
          </w:tcPr>
          <w:p w14:paraId="07AAEBBE" w14:textId="77777777" w:rsidR="00482564" w:rsidRDefault="00482564">
            <w:pPr>
              <w:pStyle w:val="bmdsTblBody"/>
            </w:pPr>
            <w:proofErr w:type="spellStart"/>
            <w:r>
              <w:rPr>
                <w:b/>
              </w:rPr>
              <w:t>acaa1a</w:t>
            </w:r>
            <w:proofErr w:type="spellEnd"/>
          </w:p>
        </w:tc>
        <w:tc>
          <w:tcPr>
            <w:tcW w:w="1230" w:type="dxa"/>
            <w:vAlign w:val="center"/>
            <w:hideMark/>
          </w:tcPr>
          <w:p w14:paraId="43229C35" w14:textId="77777777" w:rsidR="00482564" w:rsidRDefault="00482564">
            <w:pPr>
              <w:pStyle w:val="bmdsTblBody"/>
              <w:jc w:val="center"/>
            </w:pPr>
            <w:r>
              <w:rPr>
                <w:sz w:val="16"/>
              </w:rPr>
              <w:t>24157</w:t>
            </w:r>
          </w:p>
        </w:tc>
        <w:tc>
          <w:tcPr>
            <w:tcW w:w="1737" w:type="dxa"/>
            <w:vAlign w:val="center"/>
            <w:hideMark/>
          </w:tcPr>
          <w:p w14:paraId="21CF8256" w14:textId="77777777" w:rsidR="00482564" w:rsidRDefault="00482564">
            <w:pPr>
              <w:pStyle w:val="bmdsTblBody"/>
              <w:jc w:val="center"/>
            </w:pPr>
            <w:r>
              <w:rPr>
                <w:sz w:val="16"/>
              </w:rPr>
              <w:t>ACAA1A_7954</w:t>
            </w:r>
          </w:p>
        </w:tc>
        <w:tc>
          <w:tcPr>
            <w:tcW w:w="1468" w:type="dxa"/>
            <w:vAlign w:val="center"/>
            <w:hideMark/>
          </w:tcPr>
          <w:p w14:paraId="30C7D1FE" w14:textId="77777777" w:rsidR="00482564" w:rsidRDefault="00482564">
            <w:pPr>
              <w:pStyle w:val="bmdsTblBody"/>
              <w:jc w:val="center"/>
            </w:pPr>
            <w:r>
              <w:rPr>
                <w:sz w:val="16"/>
              </w:rPr>
              <w:t>8.417 (7.129-10.157)</w:t>
            </w:r>
          </w:p>
        </w:tc>
        <w:tc>
          <w:tcPr>
            <w:tcW w:w="1470" w:type="dxa"/>
            <w:vAlign w:val="center"/>
            <w:hideMark/>
          </w:tcPr>
          <w:p w14:paraId="7CCFD250" w14:textId="77777777" w:rsidR="00482564" w:rsidRDefault="00482564">
            <w:pPr>
              <w:pStyle w:val="bmdsTblBody"/>
              <w:jc w:val="center"/>
            </w:pPr>
            <w:r>
              <w:rPr>
                <w:sz w:val="16"/>
              </w:rPr>
              <w:t>13.3</w:t>
            </w:r>
          </w:p>
        </w:tc>
        <w:tc>
          <w:tcPr>
            <w:tcW w:w="1514" w:type="dxa"/>
            <w:vAlign w:val="center"/>
            <w:hideMark/>
          </w:tcPr>
          <w:p w14:paraId="4BC44D7C" w14:textId="77777777" w:rsidR="00482564" w:rsidRDefault="00482564">
            <w:pPr>
              <w:pStyle w:val="bmdsTblBody"/>
              <w:jc w:val="center"/>
            </w:pPr>
            <w:r>
              <w:rPr>
                <w:sz w:val="16"/>
              </w:rPr>
              <w:t>UP</w:t>
            </w:r>
          </w:p>
        </w:tc>
      </w:tr>
      <w:tr w:rsidR="00482564" w14:paraId="361FA8A0" w14:textId="77777777" w:rsidTr="00482564">
        <w:tc>
          <w:tcPr>
            <w:tcW w:w="1941" w:type="dxa"/>
            <w:tcBorders>
              <w:top w:val="nil"/>
              <w:left w:val="nil"/>
              <w:bottom w:val="single" w:sz="2" w:space="0" w:color="000000"/>
              <w:right w:val="nil"/>
            </w:tcBorders>
            <w:vAlign w:val="center"/>
            <w:hideMark/>
          </w:tcPr>
          <w:p w14:paraId="7C23C9ED" w14:textId="77777777" w:rsidR="00482564" w:rsidRDefault="00482564">
            <w:pPr>
              <w:pStyle w:val="bmdsTblBody"/>
            </w:pPr>
            <w:proofErr w:type="spellStart"/>
            <w:r>
              <w:rPr>
                <w:b/>
              </w:rPr>
              <w:t>acaa1b</w:t>
            </w:r>
            <w:proofErr w:type="spellEnd"/>
          </w:p>
        </w:tc>
        <w:tc>
          <w:tcPr>
            <w:tcW w:w="1230" w:type="dxa"/>
            <w:tcBorders>
              <w:top w:val="nil"/>
              <w:left w:val="nil"/>
              <w:bottom w:val="single" w:sz="2" w:space="0" w:color="000000"/>
              <w:right w:val="nil"/>
            </w:tcBorders>
            <w:vAlign w:val="center"/>
            <w:hideMark/>
          </w:tcPr>
          <w:p w14:paraId="0406948B" w14:textId="77777777" w:rsidR="00482564" w:rsidRDefault="00482564">
            <w:pPr>
              <w:pStyle w:val="bmdsTblBody"/>
              <w:jc w:val="center"/>
            </w:pPr>
            <w:r>
              <w:rPr>
                <w:sz w:val="16"/>
              </w:rPr>
              <w:t>501072</w:t>
            </w:r>
          </w:p>
        </w:tc>
        <w:tc>
          <w:tcPr>
            <w:tcW w:w="1737" w:type="dxa"/>
            <w:tcBorders>
              <w:top w:val="nil"/>
              <w:left w:val="nil"/>
              <w:bottom w:val="single" w:sz="2" w:space="0" w:color="000000"/>
              <w:right w:val="nil"/>
            </w:tcBorders>
            <w:vAlign w:val="center"/>
            <w:hideMark/>
          </w:tcPr>
          <w:p w14:paraId="0B7D4D53" w14:textId="77777777" w:rsidR="00482564" w:rsidRDefault="00482564">
            <w:pPr>
              <w:pStyle w:val="bmdsTblBody"/>
              <w:jc w:val="center"/>
            </w:pPr>
            <w:r>
              <w:rPr>
                <w:sz w:val="16"/>
              </w:rPr>
              <w:t>ACAA1A_7954</w:t>
            </w:r>
          </w:p>
        </w:tc>
        <w:tc>
          <w:tcPr>
            <w:tcW w:w="1468" w:type="dxa"/>
            <w:tcBorders>
              <w:top w:val="nil"/>
              <w:left w:val="nil"/>
              <w:bottom w:val="single" w:sz="2" w:space="0" w:color="000000"/>
              <w:right w:val="nil"/>
            </w:tcBorders>
            <w:vAlign w:val="center"/>
            <w:hideMark/>
          </w:tcPr>
          <w:p w14:paraId="610C1ECD" w14:textId="77777777" w:rsidR="00482564" w:rsidRDefault="00482564">
            <w:pPr>
              <w:pStyle w:val="bmdsTblBody"/>
              <w:jc w:val="center"/>
            </w:pPr>
            <w:r>
              <w:rPr>
                <w:sz w:val="16"/>
              </w:rPr>
              <w:t>8.417 (7.129-10.157)</w:t>
            </w:r>
          </w:p>
        </w:tc>
        <w:tc>
          <w:tcPr>
            <w:tcW w:w="1470" w:type="dxa"/>
            <w:tcBorders>
              <w:top w:val="nil"/>
              <w:left w:val="nil"/>
              <w:bottom w:val="single" w:sz="2" w:space="0" w:color="000000"/>
              <w:right w:val="nil"/>
            </w:tcBorders>
            <w:vAlign w:val="center"/>
            <w:hideMark/>
          </w:tcPr>
          <w:p w14:paraId="29067A69" w14:textId="77777777" w:rsidR="00482564" w:rsidRDefault="00482564">
            <w:pPr>
              <w:pStyle w:val="bmdsTblBody"/>
              <w:jc w:val="center"/>
            </w:pPr>
            <w:r>
              <w:rPr>
                <w:sz w:val="16"/>
              </w:rPr>
              <w:t>13.3</w:t>
            </w:r>
          </w:p>
        </w:tc>
        <w:tc>
          <w:tcPr>
            <w:tcW w:w="1514" w:type="dxa"/>
            <w:tcBorders>
              <w:top w:val="nil"/>
              <w:left w:val="nil"/>
              <w:bottom w:val="single" w:sz="2" w:space="0" w:color="000000"/>
              <w:right w:val="nil"/>
            </w:tcBorders>
            <w:vAlign w:val="center"/>
            <w:hideMark/>
          </w:tcPr>
          <w:p w14:paraId="7892E31C" w14:textId="77777777" w:rsidR="00482564" w:rsidRDefault="00482564">
            <w:pPr>
              <w:pStyle w:val="bmdsTblBody"/>
              <w:jc w:val="center"/>
            </w:pPr>
            <w:r>
              <w:rPr>
                <w:sz w:val="16"/>
              </w:rPr>
              <w:t>UP</w:t>
            </w:r>
          </w:p>
        </w:tc>
      </w:tr>
    </w:tbl>
    <w:p w14:paraId="7794DAE9" w14:textId="77777777" w:rsidR="00482564" w:rsidRDefault="00482564" w:rsidP="0048256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4"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5"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249F2637" w14:textId="46D65920" w:rsidR="00482564" w:rsidRDefault="00482564" w:rsidP="00482564">
      <w:pPr>
        <w:pStyle w:val="bmdsTblFootnote"/>
      </w:pPr>
      <w:r>
        <w:rPr>
          <w:b/>
        </w:rPr>
        <w:t>Gene definition version:</w:t>
      </w:r>
      <w:r>
        <w:t xml:space="preserve"> </w:t>
      </w:r>
      <w:r w:rsidR="000962D3" w:rsidRPr="000E6A0C">
        <w:rPr>
          <w:rFonts w:eastAsia="Calibri" w:cs="Times New Roman"/>
          <w:bCs/>
          <w:szCs w:val="18"/>
        </w:rPr>
        <w:t xml:space="preserve">https://cebs.niehs.nih.gov/cebs/study/002-00600-0002-000-0 </w:t>
      </w:r>
      <w:proofErr w:type="spellStart"/>
      <w:r w:rsidR="000962D3" w:rsidRPr="000E6A0C">
        <w:rPr>
          <w:rFonts w:eastAsia="Calibri" w:cs="Times New Roman"/>
          <w:bCs/>
          <w:szCs w:val="18"/>
        </w:rPr>
        <w:t>V052</w:t>
      </w:r>
      <w:r w:rsidR="00E25E4D">
        <w:rPr>
          <w:rFonts w:eastAsia="Calibri" w:cs="Times New Roman"/>
          <w:bCs/>
          <w:szCs w:val="18"/>
        </w:rPr>
        <w:t>8</w:t>
      </w:r>
      <w:r w:rsidR="000962D3" w:rsidRPr="000E6A0C">
        <w:rPr>
          <w:rFonts w:eastAsia="Calibri" w:cs="Times New Roman"/>
          <w:bCs/>
          <w:szCs w:val="18"/>
        </w:rPr>
        <w:t>2021</w:t>
      </w:r>
      <w:proofErr w:type="spellEnd"/>
    </w:p>
    <w:p w14:paraId="0889D258" w14:textId="77777777" w:rsidR="00482564" w:rsidRDefault="00482564" w:rsidP="00482564">
      <w:pPr>
        <w:pStyle w:val="bmdsTblFootnote"/>
      </w:pPr>
      <w:proofErr w:type="spellStart"/>
      <w:r>
        <w:rPr>
          <w:b/>
        </w:rPr>
        <w:t>Egr1</w:t>
      </w:r>
      <w:proofErr w:type="spellEnd"/>
      <w:r>
        <w:rPr>
          <w:b/>
        </w:rPr>
        <w:t>:</w:t>
      </w:r>
      <w:r>
        <w:rPr>
          <w:i/>
        </w:rPr>
        <w:t xml:space="preserve"> Human </w:t>
      </w:r>
      <w:proofErr w:type="spellStart"/>
      <w:r>
        <w:rPr>
          <w:i/>
        </w:rPr>
        <w:t>Uniprot</w:t>
      </w:r>
      <w:proofErr w:type="spellEnd"/>
      <w:r>
        <w:rPr>
          <w:i/>
        </w:rPr>
        <w:t xml:space="preserve"> function (Human EGR1):</w:t>
      </w:r>
      <w:r>
        <w:t xml:space="preserve"> Transcriptional regulator (</w:t>
      </w:r>
      <w:proofErr w:type="spellStart"/>
      <w:r>
        <w:t>PubMed20121949</w:t>
      </w:r>
      <w:proofErr w:type="spellEnd"/>
      <w:r>
        <w:t>). Recognizes and binds to the DNA sequence 5'-GCG(T/</w:t>
      </w:r>
      <w:proofErr w:type="gramStart"/>
      <w:r>
        <w:t>G)GGGCG</w:t>
      </w:r>
      <w:proofErr w:type="gramEnd"/>
      <w:r>
        <w:t>-3'(EGR-site) in the promoter region of target genes (By similarity). Binds double-stranded target DNA, irrespective of the cytosine methylation status (</w:t>
      </w:r>
      <w:proofErr w:type="spellStart"/>
      <w:r>
        <w:t>PubMed25258363</w:t>
      </w:r>
      <w:proofErr w:type="spellEnd"/>
      <w:r>
        <w:t xml:space="preserve">, </w:t>
      </w:r>
      <w:proofErr w:type="spellStart"/>
      <w:r>
        <w:t>PubMed25999311</w:t>
      </w:r>
      <w:proofErr w:type="spellEnd"/>
      <w:r>
        <w:t xml:space="preserve">). Regulates the transcription of numerous target genes, and thereby plays an important role in regulating the response to growth factors, DNA damage, and ischemia. Plays a role in the regulation of cell survival, </w:t>
      </w:r>
      <w:proofErr w:type="gramStart"/>
      <w:r>
        <w:t>proliferation</w:t>
      </w:r>
      <w:proofErr w:type="gramEnd"/>
      <w:r>
        <w:t xml:space="preserve"> and cell death. Activates expression of </w:t>
      </w:r>
      <w:proofErr w:type="spellStart"/>
      <w:r>
        <w:t>p53</w:t>
      </w:r>
      <w:proofErr w:type="spellEnd"/>
      <w:r>
        <w:t>/TP53 and TGFB1, and thereby helps prevent tumor formation. Required for normal progress through mitosis and normal proliferation of hepatocytes after partial hepatectomy. Mediates responses to ischemia and hypoxia; regulates the expression of proteins such as IL1B and CXCL2 that are involved in inflammatory processes and development of tissue damage after ischemia. Regulates biosynthesis of luteinizing hormone (LHB) in the pituitary (By similarity). Regulates the amplitude of the expression rhythms of clock genes ARNTL/BMAL1, PER2 and NR1D1 in the liver via the activation of PER1 (clock repressor) transcription. Regulates the rhythmic expression of core-clock gene ARNTL/BMAL1 in the suprachiasmatic nucleus (SCN) (By similarity). {</w:t>
      </w:r>
      <w:proofErr w:type="spellStart"/>
      <w:r>
        <w:t>ECO0000250|UniProtKBP08046</w:t>
      </w:r>
      <w:proofErr w:type="spellEnd"/>
      <w:r>
        <w:t xml:space="preserve">, </w:t>
      </w:r>
      <w:proofErr w:type="spellStart"/>
      <w:r>
        <w:t>ECO0000269|PubMed20121949</w:t>
      </w:r>
      <w:proofErr w:type="spellEnd"/>
      <w:r>
        <w:t xml:space="preserve">, </w:t>
      </w:r>
      <w:proofErr w:type="spellStart"/>
      <w:r>
        <w:t>ECO0000269|PubMed25258363</w:t>
      </w:r>
      <w:proofErr w:type="spellEnd"/>
      <w:r>
        <w:t xml:space="preserve">, </w:t>
      </w:r>
      <w:proofErr w:type="spellStart"/>
      <w:r>
        <w:t>ECO0000269|PubMed25999311</w:t>
      </w:r>
      <w:proofErr w:type="spellEnd"/>
      <w:r>
        <w:t>}.</w:t>
      </w:r>
    </w:p>
    <w:p w14:paraId="2A571C96" w14:textId="77777777" w:rsidR="00482564" w:rsidRDefault="00482564" w:rsidP="00482564">
      <w:pPr>
        <w:pStyle w:val="bmdsTblFootnote"/>
      </w:pPr>
      <w:proofErr w:type="spellStart"/>
      <w:r>
        <w:rPr>
          <w:b/>
        </w:rPr>
        <w:t>Zfp354a</w:t>
      </w:r>
      <w:proofErr w:type="spellEnd"/>
      <w:r>
        <w:rPr>
          <w:b/>
        </w:rPr>
        <w:t>:</w:t>
      </w:r>
      <w:r>
        <w:rPr>
          <w:i/>
        </w:rPr>
        <w:t xml:space="preserve"> Rat </w:t>
      </w:r>
      <w:proofErr w:type="spellStart"/>
      <w:r>
        <w:rPr>
          <w:i/>
        </w:rPr>
        <w:t>Uniprot</w:t>
      </w:r>
      <w:proofErr w:type="spellEnd"/>
      <w:r>
        <w:rPr>
          <w:i/>
        </w:rPr>
        <w:t xml:space="preserve"> Function (Human ZNF354A):</w:t>
      </w:r>
      <w:r>
        <w:t xml:space="preserve"> It may play a role in renal development and may also be involved in the repair of the kidney after ischemia-reperfusion or folic acid administration.</w:t>
      </w:r>
    </w:p>
    <w:p w14:paraId="6AF07D2F" w14:textId="77777777" w:rsidR="00482564" w:rsidRDefault="00482564" w:rsidP="00482564">
      <w:pPr>
        <w:pStyle w:val="bmdsTblFootnote"/>
      </w:pPr>
      <w:proofErr w:type="spellStart"/>
      <w:r>
        <w:rPr>
          <w:b/>
        </w:rPr>
        <w:t>Tsku</w:t>
      </w:r>
      <w:proofErr w:type="spellEnd"/>
      <w:r>
        <w:rPr>
          <w:b/>
        </w:rPr>
        <w:t>:</w:t>
      </w:r>
      <w:r>
        <w:rPr>
          <w:i/>
        </w:rPr>
        <w:t xml:space="preserve"> Human </w:t>
      </w:r>
      <w:proofErr w:type="spellStart"/>
      <w:r>
        <w:rPr>
          <w:i/>
        </w:rPr>
        <w:t>Uniprot</w:t>
      </w:r>
      <w:proofErr w:type="spellEnd"/>
      <w:r>
        <w:rPr>
          <w:i/>
        </w:rPr>
        <w:t xml:space="preserve"> function (Human TSKU):</w:t>
      </w:r>
      <w:r>
        <w:t xml:space="preserve"> Contributes to various developmental events and other processes such as wound healing and cholesterol homeostasis through its interactions with multiple signaling pathways. </w:t>
      </w:r>
      <w:proofErr w:type="spellStart"/>
      <w:r>
        <w:t>Wnt</w:t>
      </w:r>
      <w:proofErr w:type="spellEnd"/>
      <w:r>
        <w:t xml:space="preserve"> signaling inhibitor which competes with WNT2B for binding to </w:t>
      </w:r>
      <w:proofErr w:type="spellStart"/>
      <w:r>
        <w:t>Wnt</w:t>
      </w:r>
      <w:proofErr w:type="spellEnd"/>
      <w:r>
        <w:t xml:space="preserve"> receptor FZD4 and represses WNT2B-dependent development of the peripheral eye. Plays a role in regulating the hair cycle by controlling TGFB1 signaling. Required for the development of the anterior commissure in the brain by inhibiting neurite outgrowth. Essential for terminal differentiation of hippocampal neural stem cells. Plays a role in regulating bone elongation and bone mass by modulating growth plate chondrocyte function and overall body size. Required for development of the inner ear through its involvement in stereocilia formation in inner hair cells. Facilitates wound healing by inhibiting secretion of TGFB1 from macrophages which prevents myofibroblast differentiation, maintaining inflammatory cell quiescence. Plays a role in cholesterol homeostasis by reducing circulating high-density lipoprotein cholesterol, lowering cholesterol efflux </w:t>
      </w:r>
      <w:proofErr w:type="gramStart"/>
      <w:r>
        <w:t>capacity</w:t>
      </w:r>
      <w:proofErr w:type="gramEnd"/>
      <w:r>
        <w:t xml:space="preserve"> and decreasing cholesterol-to-bile acid conversion in the liver. In one study, shown to negatively regulate sympathetic innervation in brown fat, leading to reduced energy expenditure. In another study, shown not to affect brown fat thermogenic capacity, body weight gain or glucose homeostasis.</w:t>
      </w:r>
    </w:p>
    <w:p w14:paraId="26FF53FC" w14:textId="77777777" w:rsidR="00482564" w:rsidRDefault="00482564" w:rsidP="00482564">
      <w:pPr>
        <w:pStyle w:val="bmdsTblFootnote"/>
      </w:pPr>
      <w:proofErr w:type="spellStart"/>
      <w:r>
        <w:rPr>
          <w:b/>
        </w:rPr>
        <w:t>Cyp7a1</w:t>
      </w:r>
      <w:proofErr w:type="spellEnd"/>
      <w:r>
        <w:rPr>
          <w:b/>
        </w:rPr>
        <w:t>:</w:t>
      </w:r>
      <w:r>
        <w:rPr>
          <w:i/>
        </w:rPr>
        <w:t xml:space="preserve"> Human </w:t>
      </w:r>
      <w:proofErr w:type="spellStart"/>
      <w:r>
        <w:rPr>
          <w:i/>
        </w:rPr>
        <w:t>Uniprot</w:t>
      </w:r>
      <w:proofErr w:type="spellEnd"/>
      <w:r>
        <w:rPr>
          <w:i/>
        </w:rPr>
        <w:t xml:space="preserve"> function (Human CYP7A1):</w:t>
      </w:r>
      <w:r>
        <w:t xml:space="preserve"> A cytochrome </w:t>
      </w:r>
      <w:proofErr w:type="spellStart"/>
      <w:r>
        <w:t>P450</w:t>
      </w:r>
      <w:proofErr w:type="spellEnd"/>
      <w:r>
        <w:t xml:space="preserve"> monooxygenase involved in the metabolism of endogenous cholesterol and its oxygenated derivatives (oxysterols) (</w:t>
      </w:r>
      <w:proofErr w:type="spellStart"/>
      <w:r>
        <w:t>PubMed11013305</w:t>
      </w:r>
      <w:proofErr w:type="spellEnd"/>
      <w:r>
        <w:t xml:space="preserve">, </w:t>
      </w:r>
      <w:proofErr w:type="spellStart"/>
      <w:r>
        <w:t>PubMed12077124</w:t>
      </w:r>
      <w:proofErr w:type="spellEnd"/>
      <w:r>
        <w:t xml:space="preserve">, </w:t>
      </w:r>
      <w:proofErr w:type="spellStart"/>
      <w:r>
        <w:t>PubMed19965590</w:t>
      </w:r>
      <w:proofErr w:type="spellEnd"/>
      <w:r>
        <w:t xml:space="preserve">, </w:t>
      </w:r>
      <w:proofErr w:type="spellStart"/>
      <w:r>
        <w:t>PubMed2384150</w:t>
      </w:r>
      <w:proofErr w:type="spellEnd"/>
      <w:r>
        <w:t xml:space="preserve">, </w:t>
      </w:r>
      <w:proofErr w:type="spellStart"/>
      <w:r>
        <w:t>PubMed21813643</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(CPR; NADPH-ferrihemoprotein reductase) (</w:t>
      </w:r>
      <w:proofErr w:type="spellStart"/>
      <w:r>
        <w:t>PubMed2384150</w:t>
      </w:r>
      <w:proofErr w:type="spellEnd"/>
      <w:r>
        <w:t xml:space="preserve">, </w:t>
      </w:r>
      <w:proofErr w:type="spellStart"/>
      <w:r>
        <w:t>PubMed11013305</w:t>
      </w:r>
      <w:proofErr w:type="spellEnd"/>
      <w:r>
        <w:t xml:space="preserve">, </w:t>
      </w:r>
      <w:proofErr w:type="spellStart"/>
      <w:r>
        <w:t>PubMed12077124</w:t>
      </w:r>
      <w:proofErr w:type="spellEnd"/>
      <w:r>
        <w:t xml:space="preserve">, </w:t>
      </w:r>
      <w:proofErr w:type="spellStart"/>
      <w:r>
        <w:t>PubMed19965590</w:t>
      </w:r>
      <w:proofErr w:type="spellEnd"/>
      <w:r>
        <w:t xml:space="preserve">, </w:t>
      </w:r>
      <w:proofErr w:type="spellStart"/>
      <w:r>
        <w:t>PubMed21813643</w:t>
      </w:r>
      <w:proofErr w:type="spellEnd"/>
      <w:r>
        <w:t xml:space="preserve">). Functions as a critical regulatory enzyme of bile acid biosynthesis and cholesterol homeostasis. Catalyzes the </w:t>
      </w:r>
      <w:r>
        <w:lastRenderedPageBreak/>
        <w:t>hydroxylation of carbon hydrogen bond at 7-alpha position of cholesterol, a rate-limiting step in cholesterol catabolism and bile acid biosynthesis (</w:t>
      </w:r>
      <w:proofErr w:type="spellStart"/>
      <w:r>
        <w:t>PubMed12077124</w:t>
      </w:r>
      <w:proofErr w:type="spellEnd"/>
      <w:r>
        <w:t xml:space="preserve">, </w:t>
      </w:r>
      <w:proofErr w:type="spellStart"/>
      <w:r>
        <w:t>PubMed19965590</w:t>
      </w:r>
      <w:proofErr w:type="spellEnd"/>
      <w:r>
        <w:t xml:space="preserve">, </w:t>
      </w:r>
      <w:proofErr w:type="spellStart"/>
      <w:r>
        <w:t>PubMed2384150</w:t>
      </w:r>
      <w:proofErr w:type="spellEnd"/>
      <w:r>
        <w:t xml:space="preserve">). 7-alpha hydroxylates several oxysterols, including </w:t>
      </w:r>
      <w:proofErr w:type="spellStart"/>
      <w:r>
        <w:t>4beta</w:t>
      </w:r>
      <w:proofErr w:type="spellEnd"/>
      <w:r>
        <w:t>-hydroxycholesterol and 24-hydroxycholesterol (</w:t>
      </w:r>
      <w:proofErr w:type="spellStart"/>
      <w:r>
        <w:t>PubMed11013305</w:t>
      </w:r>
      <w:proofErr w:type="spellEnd"/>
      <w:r>
        <w:t xml:space="preserve">, </w:t>
      </w:r>
      <w:proofErr w:type="spellStart"/>
      <w:r>
        <w:t>PubMed12077124</w:t>
      </w:r>
      <w:proofErr w:type="spellEnd"/>
      <w:r>
        <w:t xml:space="preserve">). Catalyzes the oxidation of the </w:t>
      </w:r>
      <w:proofErr w:type="gramStart"/>
      <w:r>
        <w:t>7,8 double</w:t>
      </w:r>
      <w:proofErr w:type="gramEnd"/>
      <w:r>
        <w:t xml:space="preserve"> bond of 7-dehydrocholesterol and </w:t>
      </w:r>
      <w:proofErr w:type="spellStart"/>
      <w:r>
        <w:t>lathosterol</w:t>
      </w:r>
      <w:proofErr w:type="spellEnd"/>
      <w:r>
        <w:t xml:space="preserve"> with direct and predominant formation of the 7-keto derivatives (</w:t>
      </w:r>
      <w:proofErr w:type="spellStart"/>
      <w:r>
        <w:t>PubMed21813643</w:t>
      </w:r>
      <w:proofErr w:type="spellEnd"/>
      <w:r>
        <w:t>). {</w:t>
      </w:r>
      <w:proofErr w:type="spellStart"/>
      <w:r>
        <w:t>ECO0000269|PubMed11013305</w:t>
      </w:r>
      <w:proofErr w:type="spellEnd"/>
      <w:r>
        <w:t xml:space="preserve">, </w:t>
      </w:r>
      <w:proofErr w:type="spellStart"/>
      <w:r>
        <w:t>ECO0000269|PubMed12077124</w:t>
      </w:r>
      <w:proofErr w:type="spellEnd"/>
      <w:r>
        <w:t xml:space="preserve">, </w:t>
      </w:r>
      <w:proofErr w:type="spellStart"/>
      <w:r>
        <w:t>ECO0000269|PubMed19965590</w:t>
      </w:r>
      <w:proofErr w:type="spellEnd"/>
      <w:r>
        <w:t xml:space="preserve">, </w:t>
      </w:r>
      <w:proofErr w:type="spellStart"/>
      <w:r>
        <w:t>ECO0000269|PubMed21813643</w:t>
      </w:r>
      <w:proofErr w:type="spellEnd"/>
      <w:r>
        <w:t xml:space="preserve">, </w:t>
      </w:r>
      <w:proofErr w:type="spellStart"/>
      <w:r>
        <w:t>ECO0000269|PubMed2384150</w:t>
      </w:r>
      <w:proofErr w:type="spellEnd"/>
      <w:r>
        <w:t>}.</w:t>
      </w:r>
    </w:p>
    <w:p w14:paraId="2C45B135" w14:textId="77777777" w:rsidR="00482564" w:rsidRDefault="00482564" w:rsidP="00482564">
      <w:pPr>
        <w:pStyle w:val="bmdsTblFootnote"/>
      </w:pPr>
      <w:proofErr w:type="spellStart"/>
      <w:r>
        <w:rPr>
          <w:b/>
        </w:rPr>
        <w:t>Gsta2</w:t>
      </w:r>
      <w:proofErr w:type="spellEnd"/>
      <w:r>
        <w:rPr>
          <w:b/>
        </w:rPr>
        <w:t>:</w:t>
      </w:r>
      <w:r>
        <w:rPr>
          <w:i/>
        </w:rPr>
        <w:t xml:space="preserve"> Human </w:t>
      </w:r>
      <w:proofErr w:type="spellStart"/>
      <w:r>
        <w:rPr>
          <w:i/>
        </w:rPr>
        <w:t>Uniprot</w:t>
      </w:r>
      <w:proofErr w:type="spellEnd"/>
      <w:r>
        <w:rPr>
          <w:i/>
        </w:rPr>
        <w:t xml:space="preserve"> function (Human GSTA2):</w:t>
      </w:r>
      <w:r>
        <w:t xml:space="preserve"> Conjugation of reduced glutathione to a wide number of exogenous and endogenous hydrophobic electrophiles.</w:t>
      </w:r>
    </w:p>
    <w:p w14:paraId="08ABFCBF" w14:textId="77777777" w:rsidR="00482564" w:rsidRDefault="00482564" w:rsidP="00482564">
      <w:pPr>
        <w:pStyle w:val="bmdsTblFootnote"/>
      </w:pPr>
      <w:proofErr w:type="spellStart"/>
      <w:r>
        <w:rPr>
          <w:b/>
        </w:rPr>
        <w:t>Gsta5</w:t>
      </w:r>
      <w:proofErr w:type="spellEnd"/>
      <w:r>
        <w:rPr>
          <w:b/>
        </w:rPr>
        <w:t>:</w:t>
      </w:r>
      <w:r>
        <w:rPr>
          <w:i/>
        </w:rPr>
        <w:t xml:space="preserve"> Rat </w:t>
      </w:r>
      <w:proofErr w:type="spellStart"/>
      <w:r>
        <w:rPr>
          <w:i/>
        </w:rPr>
        <w:t>Uniprot</w:t>
      </w:r>
      <w:proofErr w:type="spellEnd"/>
      <w:r>
        <w:rPr>
          <w:i/>
        </w:rPr>
        <w:t xml:space="preserve"> Function (Human GSTA5):</w:t>
      </w:r>
      <w:r>
        <w:t xml:space="preserve"> Conjugation of reduced glutathione to a wide number of exogenous and endogenous hydrophobic electrophiles.</w:t>
      </w:r>
    </w:p>
    <w:p w14:paraId="490BF198" w14:textId="77777777" w:rsidR="00482564" w:rsidRDefault="00482564" w:rsidP="00482564">
      <w:pPr>
        <w:pStyle w:val="bmdsTblFootnote"/>
      </w:pPr>
      <w:proofErr w:type="spellStart"/>
      <w:r>
        <w:rPr>
          <w:b/>
        </w:rPr>
        <w:t>Crot</w:t>
      </w:r>
      <w:proofErr w:type="spellEnd"/>
      <w:r>
        <w:rPr>
          <w:b/>
        </w:rPr>
        <w:t>:</w:t>
      </w:r>
      <w:r>
        <w:rPr>
          <w:i/>
        </w:rPr>
        <w:t xml:space="preserve"> Human </w:t>
      </w:r>
      <w:proofErr w:type="spellStart"/>
      <w:r>
        <w:rPr>
          <w:i/>
        </w:rPr>
        <w:t>Uniprot</w:t>
      </w:r>
      <w:proofErr w:type="spellEnd"/>
      <w:r>
        <w:rPr>
          <w:i/>
        </w:rPr>
        <w:t xml:space="preserve"> function (Human CROT):</w:t>
      </w:r>
      <w:r>
        <w:t xml:space="preserve"> Beta-oxidation of fatty acids. The highest activity concerns the </w:t>
      </w:r>
      <w:proofErr w:type="spellStart"/>
      <w:r>
        <w:t>C6</w:t>
      </w:r>
      <w:proofErr w:type="spellEnd"/>
      <w:r>
        <w:t xml:space="preserve"> to </w:t>
      </w:r>
      <w:proofErr w:type="spellStart"/>
      <w:r>
        <w:t>C10</w:t>
      </w:r>
      <w:proofErr w:type="spellEnd"/>
      <w:r>
        <w:t xml:space="preserve"> chain length substrate. Converts the </w:t>
      </w:r>
      <w:proofErr w:type="gramStart"/>
      <w:r>
        <w:t>end product</w:t>
      </w:r>
      <w:proofErr w:type="gramEnd"/>
      <w:r>
        <w:t xml:space="preserve"> of </w:t>
      </w:r>
      <w:proofErr w:type="spellStart"/>
      <w:r>
        <w:t>pristanic</w:t>
      </w:r>
      <w:proofErr w:type="spellEnd"/>
      <w:r>
        <w:t xml:space="preserve"> acid beta oxidation, 4,8-</w:t>
      </w:r>
      <w:proofErr w:type="spellStart"/>
      <w:r>
        <w:t>dimethylnonanoyl</w:t>
      </w:r>
      <w:proofErr w:type="spellEnd"/>
      <w:r>
        <w:t>-CoA, to its corresponding carnitine ester. {</w:t>
      </w:r>
      <w:proofErr w:type="spellStart"/>
      <w:r>
        <w:t>ECO0000269|PubMed10486279</w:t>
      </w:r>
      <w:proofErr w:type="spellEnd"/>
      <w:r>
        <w:t>}.</w:t>
      </w:r>
    </w:p>
    <w:p w14:paraId="6A4035A0" w14:textId="77777777" w:rsidR="00482564" w:rsidRDefault="00482564" w:rsidP="00482564">
      <w:pPr>
        <w:pStyle w:val="bmdsTblFootnote"/>
      </w:pPr>
      <w:proofErr w:type="spellStart"/>
      <w:r>
        <w:rPr>
          <w:b/>
        </w:rPr>
        <w:t>Slc27a2</w:t>
      </w:r>
      <w:proofErr w:type="spellEnd"/>
      <w:r>
        <w:rPr>
          <w:b/>
        </w:rPr>
        <w:t>:</w:t>
      </w:r>
      <w:r>
        <w:rPr>
          <w:i/>
        </w:rPr>
        <w:t xml:space="preserve"> Human </w:t>
      </w:r>
      <w:proofErr w:type="spellStart"/>
      <w:r>
        <w:rPr>
          <w:i/>
        </w:rPr>
        <w:t>Uniprot</w:t>
      </w:r>
      <w:proofErr w:type="spellEnd"/>
      <w:r>
        <w:rPr>
          <w:i/>
        </w:rPr>
        <w:t xml:space="preserve"> function (Human SLC27A2):</w:t>
      </w:r>
      <w:r>
        <w:t xml:space="preserve"> Acyl CoA synthetase that activates long-chain and very long-chain fatty acids (VLCFAs) by catalyzing the formation of fatty acyl-CoA (</w:t>
      </w:r>
      <w:proofErr w:type="spellStart"/>
      <w:r>
        <w:t>PubMed10198260</w:t>
      </w:r>
      <w:proofErr w:type="spellEnd"/>
      <w:r>
        <w:t xml:space="preserve">, </w:t>
      </w:r>
      <w:proofErr w:type="spellStart"/>
      <w:r>
        <w:t>PubMed10749848</w:t>
      </w:r>
      <w:proofErr w:type="spellEnd"/>
      <w:r>
        <w:t xml:space="preserve">, </w:t>
      </w:r>
      <w:proofErr w:type="spellStart"/>
      <w:r>
        <w:t>PubMed11980911</w:t>
      </w:r>
      <w:proofErr w:type="spellEnd"/>
      <w:r>
        <w:t xml:space="preserve">). Can also activate branched-chain fatty acids such as phytanic acid and </w:t>
      </w:r>
      <w:proofErr w:type="spellStart"/>
      <w:r>
        <w:t>pristanic</w:t>
      </w:r>
      <w:proofErr w:type="spellEnd"/>
      <w:r>
        <w:t xml:space="preserve"> acid (</w:t>
      </w:r>
      <w:proofErr w:type="spellStart"/>
      <w:r>
        <w:t>PubMed10198260</w:t>
      </w:r>
      <w:proofErr w:type="spellEnd"/>
      <w:r>
        <w:t xml:space="preserve">). Does not activate </w:t>
      </w:r>
      <w:proofErr w:type="spellStart"/>
      <w:r>
        <w:t>C24</w:t>
      </w:r>
      <w:proofErr w:type="spellEnd"/>
      <w:r>
        <w:t xml:space="preserve"> bile acids, cholate and chenodeoxycholate (</w:t>
      </w:r>
      <w:proofErr w:type="spellStart"/>
      <w:r>
        <w:t>PubMed11980911</w:t>
      </w:r>
      <w:proofErr w:type="spellEnd"/>
      <w:r>
        <w:t>). In vitro, activates 3-</w:t>
      </w:r>
      <w:proofErr w:type="spellStart"/>
      <w:r>
        <w:t>alpha,7</w:t>
      </w:r>
      <w:proofErr w:type="spellEnd"/>
      <w:r>
        <w:t>-</w:t>
      </w:r>
      <w:proofErr w:type="spellStart"/>
      <w:r>
        <w:t>alpha,12</w:t>
      </w:r>
      <w:proofErr w:type="spellEnd"/>
      <w:r>
        <w:t>-alpha-trihydroxy-5-beta-</w:t>
      </w:r>
      <w:proofErr w:type="spellStart"/>
      <w:r>
        <w:t>cholestanate</w:t>
      </w:r>
      <w:proofErr w:type="spellEnd"/>
      <w:r>
        <w:t xml:space="preserve"> (THCA), the </w:t>
      </w:r>
      <w:proofErr w:type="spellStart"/>
      <w:r>
        <w:t>C27</w:t>
      </w:r>
      <w:proofErr w:type="spellEnd"/>
      <w:r>
        <w:t xml:space="preserve"> precursor of cholic acid deriving from the de novo synthesis from cholesterol (</w:t>
      </w:r>
      <w:proofErr w:type="spellStart"/>
      <w:r>
        <w:t>PubMed11980911</w:t>
      </w:r>
      <w:proofErr w:type="spellEnd"/>
      <w:r>
        <w:t>). Exhibits long-chain fatty acids (LCFA) transport activity and plays an important role in hepatic fatty acid uptake (</w:t>
      </w:r>
      <w:proofErr w:type="spellStart"/>
      <w:r>
        <w:t>PubMed20530735</w:t>
      </w:r>
      <w:proofErr w:type="spellEnd"/>
      <w:r>
        <w:t>). {</w:t>
      </w:r>
      <w:proofErr w:type="spellStart"/>
      <w:r>
        <w:t>ECO0000269|PubMed10198260</w:t>
      </w:r>
      <w:proofErr w:type="spellEnd"/>
      <w:r>
        <w:t xml:space="preserve">, </w:t>
      </w:r>
      <w:proofErr w:type="spellStart"/>
      <w:r>
        <w:t>ECO0000269|PubMed10749848</w:t>
      </w:r>
      <w:proofErr w:type="spellEnd"/>
      <w:r>
        <w:t xml:space="preserve">, </w:t>
      </w:r>
      <w:proofErr w:type="spellStart"/>
      <w:r>
        <w:t>ECO0000269|PubMed11980911</w:t>
      </w:r>
      <w:proofErr w:type="spellEnd"/>
      <w:r>
        <w:t xml:space="preserve">, </w:t>
      </w:r>
      <w:proofErr w:type="spellStart"/>
      <w:r>
        <w:t>ECO0000269|PubMed20530735</w:t>
      </w:r>
      <w:proofErr w:type="spellEnd"/>
      <w:r>
        <w:t>}.; FUNCTION [Isoform 1] Exhibits both long-chain fatty acids (LCFA) transport activity and acyl CoA synthetase towards very long-chain fatty acids (</w:t>
      </w:r>
      <w:proofErr w:type="spellStart"/>
      <w:r>
        <w:t>PubMed21768100</w:t>
      </w:r>
      <w:proofErr w:type="spellEnd"/>
      <w:r>
        <w:t>). Shows a preference for generating CoA derivatives of n-3 fatty acids, which are preferentially trafficked into phosphatidylinositol (</w:t>
      </w:r>
      <w:proofErr w:type="spellStart"/>
      <w:r>
        <w:t>PubMed21768100</w:t>
      </w:r>
      <w:proofErr w:type="spellEnd"/>
      <w:r>
        <w:t>). {</w:t>
      </w:r>
      <w:proofErr w:type="spellStart"/>
      <w:r>
        <w:t>ECO0000269|PubMed21768100</w:t>
      </w:r>
      <w:proofErr w:type="spellEnd"/>
      <w:r>
        <w:t>}.; FUNCTION [Isoform 2] Exhibits long-chain fatty acids (LCFA) transport activity but lacks acyl CoA synthetase towards very long-chain fatty acids. {</w:t>
      </w:r>
      <w:proofErr w:type="spellStart"/>
      <w:r>
        <w:t>ECO0000269|PubMed21768100</w:t>
      </w:r>
      <w:proofErr w:type="spellEnd"/>
      <w:r>
        <w:t>}.</w:t>
      </w:r>
    </w:p>
    <w:p w14:paraId="3C561A0F" w14:textId="77777777" w:rsidR="00482564" w:rsidRDefault="00482564" w:rsidP="00482564">
      <w:pPr>
        <w:pStyle w:val="bmdsTblFootnote"/>
      </w:pPr>
      <w:proofErr w:type="spellStart"/>
      <w:r>
        <w:rPr>
          <w:b/>
        </w:rPr>
        <w:t>Acaa1a</w:t>
      </w:r>
      <w:proofErr w:type="spellEnd"/>
      <w:r>
        <w:rPr>
          <w:b/>
        </w:rPr>
        <w:t>:</w:t>
      </w:r>
      <w:r>
        <w:rPr>
          <w:i/>
        </w:rPr>
        <w:t xml:space="preserve"> Human Entrez Gene Summary (Human ACAA1):</w:t>
      </w:r>
      <w:r>
        <w:t xml:space="preserve"> This gene encodes an enzyme operative in the beta-oxidation system of the peroxisomes. Deficiency of this enzyme leads to pseudo-Zellweger syndrome. Alternative splicing results in multiple transcript variants. [provided by </w:t>
      </w:r>
      <w:proofErr w:type="spellStart"/>
      <w:r>
        <w:t>RefSeq</w:t>
      </w:r>
      <w:proofErr w:type="spellEnd"/>
      <w:r>
        <w:t>, Jul 2008]</w:t>
      </w:r>
    </w:p>
    <w:p w14:paraId="4E32909C" w14:textId="77777777" w:rsidR="00482564" w:rsidRDefault="00482564" w:rsidP="00482564">
      <w:pPr>
        <w:pStyle w:val="bmdsTblFootnote"/>
      </w:pPr>
      <w:proofErr w:type="spellStart"/>
      <w:r>
        <w:rPr>
          <w:b/>
        </w:rPr>
        <w:t>Acaa1b</w:t>
      </w:r>
      <w:proofErr w:type="spellEnd"/>
      <w:r>
        <w:rPr>
          <w:b/>
        </w:rPr>
        <w:t>:</w:t>
      </w:r>
      <w:r>
        <w:rPr>
          <w:i/>
        </w:rPr>
        <w:t xml:space="preserve"> Human Entrez Gene Summary (Human ACAA1):</w:t>
      </w:r>
      <w:r>
        <w:t xml:space="preserve"> This gene encodes an enzyme operative in the beta-oxidation system of the peroxisomes. Deficiency of this enzyme leads to pseudo-Zellweger syndrome. Alternative splicing results in multiple transcript variants. [provided by </w:t>
      </w:r>
      <w:proofErr w:type="spellStart"/>
      <w:r>
        <w:t>RefSeq</w:t>
      </w:r>
      <w:proofErr w:type="spellEnd"/>
      <w:r>
        <w:t>, Jul 2008]</w:t>
      </w:r>
    </w:p>
    <w:p w14:paraId="04E27E60" w14:textId="77777777" w:rsidR="00482564" w:rsidRDefault="00482564" w:rsidP="00482564">
      <w:pPr>
        <w:pStyle w:val="bmdsTblFootnote"/>
      </w:pPr>
      <w:r>
        <w:br w:type="page"/>
      </w:r>
    </w:p>
    <w:p w14:paraId="0016EA37" w14:textId="77777777" w:rsidR="00482564" w:rsidRDefault="00482564" w:rsidP="00482564">
      <w:pPr>
        <w:pStyle w:val="Heading3"/>
      </w:pPr>
      <w:r>
        <w:lastRenderedPageBreak/>
        <w:t>Female Liver Top 10 Genes Ranked by Potency of Perturbation (Sorted by BMD Median)</w:t>
      </w:r>
    </w:p>
    <w:tbl>
      <w:tblPr>
        <w:tblW w:w="0" w:type="auto"/>
        <w:tblLook w:val="04A0" w:firstRow="1" w:lastRow="0" w:firstColumn="1" w:lastColumn="0" w:noHBand="0" w:noVBand="1"/>
      </w:tblPr>
      <w:tblGrid>
        <w:gridCol w:w="2094"/>
        <w:gridCol w:w="1308"/>
        <w:gridCol w:w="1780"/>
        <w:gridCol w:w="1377"/>
        <w:gridCol w:w="1378"/>
        <w:gridCol w:w="1423"/>
      </w:tblGrid>
      <w:tr w:rsidR="00482564" w14:paraId="0498A668" w14:textId="77777777" w:rsidTr="00482564">
        <w:tc>
          <w:tcPr>
            <w:tcW w:w="2094" w:type="dxa"/>
            <w:tcBorders>
              <w:top w:val="single" w:sz="2" w:space="0" w:color="000000"/>
              <w:left w:val="nil"/>
              <w:bottom w:val="single" w:sz="2" w:space="0" w:color="000000"/>
              <w:right w:val="nil"/>
            </w:tcBorders>
            <w:vAlign w:val="center"/>
            <w:hideMark/>
          </w:tcPr>
          <w:p w14:paraId="0A240272" w14:textId="77777777" w:rsidR="00482564" w:rsidRDefault="00482564">
            <w:pPr>
              <w:pStyle w:val="bmdsTblBody"/>
            </w:pPr>
            <w:r>
              <w:rPr>
                <w:b/>
              </w:rPr>
              <w:t>Gene Symbol</w:t>
            </w:r>
          </w:p>
        </w:tc>
        <w:tc>
          <w:tcPr>
            <w:tcW w:w="1308" w:type="dxa"/>
            <w:tcBorders>
              <w:top w:val="single" w:sz="2" w:space="0" w:color="000000"/>
              <w:left w:val="nil"/>
              <w:bottom w:val="single" w:sz="2" w:space="0" w:color="000000"/>
              <w:right w:val="nil"/>
            </w:tcBorders>
            <w:vAlign w:val="center"/>
            <w:hideMark/>
          </w:tcPr>
          <w:p w14:paraId="227E8750" w14:textId="77777777" w:rsidR="00482564" w:rsidRDefault="00482564">
            <w:pPr>
              <w:pStyle w:val="bmdsTblHeader"/>
              <w:jc w:val="center"/>
            </w:pPr>
            <w:r>
              <w:t>Entrez Gene IDs</w:t>
            </w:r>
          </w:p>
        </w:tc>
        <w:tc>
          <w:tcPr>
            <w:tcW w:w="1780" w:type="dxa"/>
            <w:tcBorders>
              <w:top w:val="single" w:sz="2" w:space="0" w:color="000000"/>
              <w:left w:val="nil"/>
              <w:bottom w:val="single" w:sz="2" w:space="0" w:color="000000"/>
              <w:right w:val="nil"/>
            </w:tcBorders>
            <w:vAlign w:val="center"/>
            <w:hideMark/>
          </w:tcPr>
          <w:p w14:paraId="6B19DC86" w14:textId="77777777" w:rsidR="00482564" w:rsidRDefault="00482564">
            <w:pPr>
              <w:pStyle w:val="bmdsTblHeader"/>
              <w:jc w:val="center"/>
            </w:pPr>
            <w:r>
              <w:t>Probe IDs</w:t>
            </w:r>
          </w:p>
        </w:tc>
        <w:tc>
          <w:tcPr>
            <w:tcW w:w="1377" w:type="dxa"/>
            <w:tcBorders>
              <w:top w:val="single" w:sz="2" w:space="0" w:color="000000"/>
              <w:left w:val="nil"/>
              <w:bottom w:val="single" w:sz="2" w:space="0" w:color="000000"/>
              <w:right w:val="nil"/>
            </w:tcBorders>
            <w:vAlign w:val="center"/>
            <w:hideMark/>
          </w:tcPr>
          <w:p w14:paraId="5A2DEDD9" w14:textId="77777777" w:rsidR="00482564" w:rsidRDefault="00482564">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378" w:type="dxa"/>
            <w:tcBorders>
              <w:top w:val="single" w:sz="2" w:space="0" w:color="000000"/>
              <w:left w:val="nil"/>
              <w:bottom w:val="single" w:sz="2" w:space="0" w:color="000000"/>
              <w:right w:val="nil"/>
            </w:tcBorders>
            <w:vAlign w:val="center"/>
            <w:hideMark/>
          </w:tcPr>
          <w:p w14:paraId="2F0A90B3" w14:textId="77777777" w:rsidR="00482564" w:rsidRDefault="00482564">
            <w:pPr>
              <w:pStyle w:val="bmdsTblHeader"/>
              <w:jc w:val="center"/>
            </w:pPr>
            <w:r>
              <w:t>Maximum Fold Change</w:t>
            </w:r>
          </w:p>
        </w:tc>
        <w:tc>
          <w:tcPr>
            <w:tcW w:w="1423" w:type="dxa"/>
            <w:tcBorders>
              <w:top w:val="single" w:sz="2" w:space="0" w:color="000000"/>
              <w:left w:val="nil"/>
              <w:bottom w:val="single" w:sz="2" w:space="0" w:color="000000"/>
              <w:right w:val="nil"/>
            </w:tcBorders>
            <w:vAlign w:val="center"/>
            <w:hideMark/>
          </w:tcPr>
          <w:p w14:paraId="435DE7F6" w14:textId="77777777" w:rsidR="00482564" w:rsidRDefault="00482564">
            <w:pPr>
              <w:pStyle w:val="bmdsTblHeader"/>
              <w:jc w:val="center"/>
            </w:pPr>
            <w:r>
              <w:t>Direction of Expression Change</w:t>
            </w:r>
          </w:p>
        </w:tc>
      </w:tr>
      <w:tr w:rsidR="00482564" w14:paraId="5E1281D1" w14:textId="77777777" w:rsidTr="00482564">
        <w:tc>
          <w:tcPr>
            <w:tcW w:w="2094" w:type="dxa"/>
            <w:vAlign w:val="center"/>
            <w:hideMark/>
          </w:tcPr>
          <w:p w14:paraId="6F3495AE" w14:textId="77777777" w:rsidR="00482564" w:rsidRDefault="00482564">
            <w:pPr>
              <w:pStyle w:val="bmdsTblBody"/>
            </w:pPr>
            <w:proofErr w:type="spellStart"/>
            <w:r>
              <w:rPr>
                <w:b/>
              </w:rPr>
              <w:t>a2m</w:t>
            </w:r>
            <w:proofErr w:type="spellEnd"/>
          </w:p>
        </w:tc>
        <w:tc>
          <w:tcPr>
            <w:tcW w:w="1308" w:type="dxa"/>
            <w:vAlign w:val="center"/>
            <w:hideMark/>
          </w:tcPr>
          <w:p w14:paraId="4F5F335D" w14:textId="77777777" w:rsidR="00482564" w:rsidRDefault="00482564">
            <w:pPr>
              <w:pStyle w:val="bmdsTblBody"/>
              <w:jc w:val="center"/>
            </w:pPr>
            <w:r>
              <w:rPr>
                <w:sz w:val="16"/>
              </w:rPr>
              <w:t>24153</w:t>
            </w:r>
          </w:p>
        </w:tc>
        <w:tc>
          <w:tcPr>
            <w:tcW w:w="1780" w:type="dxa"/>
            <w:vAlign w:val="center"/>
            <w:hideMark/>
          </w:tcPr>
          <w:p w14:paraId="12425A11" w14:textId="77777777" w:rsidR="00482564" w:rsidRDefault="00482564">
            <w:pPr>
              <w:pStyle w:val="bmdsTblBody"/>
              <w:jc w:val="center"/>
            </w:pPr>
            <w:r>
              <w:rPr>
                <w:sz w:val="16"/>
              </w:rPr>
              <w:t>A2M_7932</w:t>
            </w:r>
          </w:p>
        </w:tc>
        <w:tc>
          <w:tcPr>
            <w:tcW w:w="1377" w:type="dxa"/>
            <w:vAlign w:val="center"/>
            <w:hideMark/>
          </w:tcPr>
          <w:p w14:paraId="16860B81" w14:textId="77777777" w:rsidR="00482564" w:rsidRDefault="00482564">
            <w:pPr>
              <w:pStyle w:val="bmdsTblBody"/>
              <w:jc w:val="center"/>
            </w:pPr>
            <w:r>
              <w:rPr>
                <w:sz w:val="16"/>
              </w:rPr>
              <w:t>1.163 (0.179-7.061)</w:t>
            </w:r>
          </w:p>
        </w:tc>
        <w:tc>
          <w:tcPr>
            <w:tcW w:w="1378" w:type="dxa"/>
            <w:vAlign w:val="center"/>
            <w:hideMark/>
          </w:tcPr>
          <w:p w14:paraId="2F7418B9" w14:textId="77777777" w:rsidR="00482564" w:rsidRDefault="00482564">
            <w:pPr>
              <w:pStyle w:val="bmdsTblBody"/>
              <w:jc w:val="center"/>
            </w:pPr>
            <w:r>
              <w:rPr>
                <w:sz w:val="16"/>
              </w:rPr>
              <w:t>2.3</w:t>
            </w:r>
          </w:p>
        </w:tc>
        <w:tc>
          <w:tcPr>
            <w:tcW w:w="1423" w:type="dxa"/>
            <w:vAlign w:val="center"/>
            <w:hideMark/>
          </w:tcPr>
          <w:p w14:paraId="13E54847" w14:textId="77777777" w:rsidR="00482564" w:rsidRDefault="00482564">
            <w:pPr>
              <w:pStyle w:val="bmdsTblBody"/>
              <w:jc w:val="center"/>
            </w:pPr>
            <w:r>
              <w:rPr>
                <w:sz w:val="16"/>
              </w:rPr>
              <w:t>DOWN</w:t>
            </w:r>
          </w:p>
        </w:tc>
      </w:tr>
      <w:tr w:rsidR="00482564" w14:paraId="6E4FE073" w14:textId="77777777" w:rsidTr="00482564">
        <w:tc>
          <w:tcPr>
            <w:tcW w:w="2094" w:type="dxa"/>
            <w:vAlign w:val="center"/>
            <w:hideMark/>
          </w:tcPr>
          <w:p w14:paraId="070B0758" w14:textId="77777777" w:rsidR="00482564" w:rsidRDefault="00482564">
            <w:pPr>
              <w:pStyle w:val="bmdsTblBody"/>
            </w:pPr>
            <w:proofErr w:type="spellStart"/>
            <w:r>
              <w:rPr>
                <w:b/>
              </w:rPr>
              <w:t>loc100911545</w:t>
            </w:r>
            <w:proofErr w:type="spellEnd"/>
          </w:p>
        </w:tc>
        <w:tc>
          <w:tcPr>
            <w:tcW w:w="1308" w:type="dxa"/>
            <w:vAlign w:val="center"/>
            <w:hideMark/>
          </w:tcPr>
          <w:p w14:paraId="4D257B55" w14:textId="77777777" w:rsidR="00482564" w:rsidRDefault="00482564">
            <w:pPr>
              <w:pStyle w:val="bmdsTblBody"/>
              <w:jc w:val="center"/>
            </w:pPr>
            <w:r>
              <w:rPr>
                <w:sz w:val="16"/>
              </w:rPr>
              <w:t>100911545</w:t>
            </w:r>
          </w:p>
        </w:tc>
        <w:tc>
          <w:tcPr>
            <w:tcW w:w="1780" w:type="dxa"/>
            <w:vAlign w:val="center"/>
            <w:hideMark/>
          </w:tcPr>
          <w:p w14:paraId="31F946D8" w14:textId="77777777" w:rsidR="00482564" w:rsidRDefault="00482564">
            <w:pPr>
              <w:pStyle w:val="bmdsTblBody"/>
              <w:jc w:val="center"/>
            </w:pPr>
            <w:r>
              <w:rPr>
                <w:sz w:val="16"/>
              </w:rPr>
              <w:t>A2M_7932</w:t>
            </w:r>
          </w:p>
        </w:tc>
        <w:tc>
          <w:tcPr>
            <w:tcW w:w="1377" w:type="dxa"/>
            <w:vAlign w:val="center"/>
            <w:hideMark/>
          </w:tcPr>
          <w:p w14:paraId="431F9393" w14:textId="77777777" w:rsidR="00482564" w:rsidRDefault="00482564">
            <w:pPr>
              <w:pStyle w:val="bmdsTblBody"/>
              <w:jc w:val="center"/>
            </w:pPr>
            <w:r>
              <w:rPr>
                <w:sz w:val="16"/>
              </w:rPr>
              <w:t>1.163 (0.179-7.061)</w:t>
            </w:r>
          </w:p>
        </w:tc>
        <w:tc>
          <w:tcPr>
            <w:tcW w:w="1378" w:type="dxa"/>
            <w:vAlign w:val="center"/>
            <w:hideMark/>
          </w:tcPr>
          <w:p w14:paraId="2D6D56B4" w14:textId="77777777" w:rsidR="00482564" w:rsidRDefault="00482564">
            <w:pPr>
              <w:pStyle w:val="bmdsTblBody"/>
              <w:jc w:val="center"/>
            </w:pPr>
            <w:r>
              <w:rPr>
                <w:sz w:val="16"/>
              </w:rPr>
              <w:t>2.3</w:t>
            </w:r>
          </w:p>
        </w:tc>
        <w:tc>
          <w:tcPr>
            <w:tcW w:w="1423" w:type="dxa"/>
            <w:vAlign w:val="center"/>
            <w:hideMark/>
          </w:tcPr>
          <w:p w14:paraId="56A40B3C" w14:textId="77777777" w:rsidR="00482564" w:rsidRDefault="00482564">
            <w:pPr>
              <w:pStyle w:val="bmdsTblBody"/>
              <w:jc w:val="center"/>
            </w:pPr>
            <w:r>
              <w:rPr>
                <w:sz w:val="16"/>
              </w:rPr>
              <w:t>DOWN</w:t>
            </w:r>
          </w:p>
        </w:tc>
      </w:tr>
      <w:tr w:rsidR="00482564" w14:paraId="27A4D5B0" w14:textId="77777777" w:rsidTr="00482564">
        <w:tc>
          <w:tcPr>
            <w:tcW w:w="2094" w:type="dxa"/>
            <w:vAlign w:val="center"/>
            <w:hideMark/>
          </w:tcPr>
          <w:p w14:paraId="09628BF3" w14:textId="77777777" w:rsidR="00482564" w:rsidRDefault="00482564">
            <w:pPr>
              <w:pStyle w:val="bmdsTblBody"/>
            </w:pPr>
            <w:proofErr w:type="spellStart"/>
            <w:r>
              <w:rPr>
                <w:b/>
              </w:rPr>
              <w:t>dao</w:t>
            </w:r>
            <w:proofErr w:type="spellEnd"/>
          </w:p>
        </w:tc>
        <w:tc>
          <w:tcPr>
            <w:tcW w:w="1308" w:type="dxa"/>
            <w:vAlign w:val="center"/>
            <w:hideMark/>
          </w:tcPr>
          <w:p w14:paraId="249F999C" w14:textId="77777777" w:rsidR="00482564" w:rsidRDefault="00482564">
            <w:pPr>
              <w:pStyle w:val="bmdsTblBody"/>
              <w:jc w:val="center"/>
            </w:pPr>
            <w:r>
              <w:rPr>
                <w:sz w:val="16"/>
              </w:rPr>
              <w:t>114027</w:t>
            </w:r>
          </w:p>
        </w:tc>
        <w:tc>
          <w:tcPr>
            <w:tcW w:w="1780" w:type="dxa"/>
            <w:vAlign w:val="center"/>
            <w:hideMark/>
          </w:tcPr>
          <w:p w14:paraId="19D4AF38" w14:textId="77777777" w:rsidR="00482564" w:rsidRDefault="00482564">
            <w:pPr>
              <w:pStyle w:val="bmdsTblBody"/>
              <w:jc w:val="center"/>
            </w:pPr>
            <w:r>
              <w:rPr>
                <w:sz w:val="16"/>
              </w:rPr>
              <w:t>DAO_8437</w:t>
            </w:r>
          </w:p>
        </w:tc>
        <w:tc>
          <w:tcPr>
            <w:tcW w:w="1377" w:type="dxa"/>
            <w:vAlign w:val="center"/>
            <w:hideMark/>
          </w:tcPr>
          <w:p w14:paraId="0F52BE01" w14:textId="77777777" w:rsidR="00482564" w:rsidRDefault="00482564">
            <w:pPr>
              <w:pStyle w:val="bmdsTblBody"/>
              <w:jc w:val="center"/>
            </w:pPr>
            <w:r>
              <w:rPr>
                <w:sz w:val="16"/>
              </w:rPr>
              <w:t>6.134 (2.436-16.203)</w:t>
            </w:r>
          </w:p>
        </w:tc>
        <w:tc>
          <w:tcPr>
            <w:tcW w:w="1378" w:type="dxa"/>
            <w:vAlign w:val="center"/>
            <w:hideMark/>
          </w:tcPr>
          <w:p w14:paraId="744FEADA" w14:textId="77777777" w:rsidR="00482564" w:rsidRDefault="00482564">
            <w:pPr>
              <w:pStyle w:val="bmdsTblBody"/>
              <w:jc w:val="center"/>
            </w:pPr>
            <w:r>
              <w:rPr>
                <w:sz w:val="16"/>
              </w:rPr>
              <w:t>2.1</w:t>
            </w:r>
          </w:p>
        </w:tc>
        <w:tc>
          <w:tcPr>
            <w:tcW w:w="1423" w:type="dxa"/>
            <w:vAlign w:val="center"/>
            <w:hideMark/>
          </w:tcPr>
          <w:p w14:paraId="38F199C4" w14:textId="77777777" w:rsidR="00482564" w:rsidRDefault="00482564">
            <w:pPr>
              <w:pStyle w:val="bmdsTblBody"/>
              <w:jc w:val="center"/>
            </w:pPr>
            <w:r>
              <w:rPr>
                <w:sz w:val="16"/>
              </w:rPr>
              <w:t>UP</w:t>
            </w:r>
          </w:p>
        </w:tc>
      </w:tr>
      <w:tr w:rsidR="00482564" w14:paraId="2D6A36D6" w14:textId="77777777" w:rsidTr="00482564">
        <w:tc>
          <w:tcPr>
            <w:tcW w:w="2094" w:type="dxa"/>
            <w:vAlign w:val="center"/>
            <w:hideMark/>
          </w:tcPr>
          <w:p w14:paraId="79A68079" w14:textId="77777777" w:rsidR="00482564" w:rsidRDefault="00482564">
            <w:pPr>
              <w:pStyle w:val="bmdsTblBody"/>
            </w:pPr>
            <w:proofErr w:type="spellStart"/>
            <w:r>
              <w:rPr>
                <w:b/>
              </w:rPr>
              <w:t>ephx2</w:t>
            </w:r>
            <w:proofErr w:type="spellEnd"/>
          </w:p>
        </w:tc>
        <w:tc>
          <w:tcPr>
            <w:tcW w:w="1308" w:type="dxa"/>
            <w:vAlign w:val="center"/>
            <w:hideMark/>
          </w:tcPr>
          <w:p w14:paraId="039BA35D" w14:textId="77777777" w:rsidR="00482564" w:rsidRDefault="00482564">
            <w:pPr>
              <w:pStyle w:val="bmdsTblBody"/>
              <w:jc w:val="center"/>
            </w:pPr>
            <w:r>
              <w:rPr>
                <w:sz w:val="16"/>
              </w:rPr>
              <w:t>65030</w:t>
            </w:r>
          </w:p>
        </w:tc>
        <w:tc>
          <w:tcPr>
            <w:tcW w:w="1780" w:type="dxa"/>
            <w:vAlign w:val="center"/>
            <w:hideMark/>
          </w:tcPr>
          <w:p w14:paraId="04D6CE93" w14:textId="77777777" w:rsidR="00482564" w:rsidRDefault="00482564">
            <w:pPr>
              <w:pStyle w:val="bmdsTblBody"/>
              <w:jc w:val="center"/>
            </w:pPr>
            <w:r>
              <w:rPr>
                <w:sz w:val="16"/>
              </w:rPr>
              <w:t>EPHX2_33282</w:t>
            </w:r>
          </w:p>
        </w:tc>
        <w:tc>
          <w:tcPr>
            <w:tcW w:w="1377" w:type="dxa"/>
            <w:vAlign w:val="center"/>
            <w:hideMark/>
          </w:tcPr>
          <w:p w14:paraId="3FBFA230" w14:textId="77777777" w:rsidR="00482564" w:rsidRDefault="00482564">
            <w:pPr>
              <w:pStyle w:val="bmdsTblBody"/>
              <w:jc w:val="center"/>
            </w:pPr>
            <w:r>
              <w:rPr>
                <w:sz w:val="16"/>
              </w:rPr>
              <w:t>6.441 (2.664-17.347)</w:t>
            </w:r>
          </w:p>
        </w:tc>
        <w:tc>
          <w:tcPr>
            <w:tcW w:w="1378" w:type="dxa"/>
            <w:vAlign w:val="center"/>
            <w:hideMark/>
          </w:tcPr>
          <w:p w14:paraId="35BDDB89" w14:textId="77777777" w:rsidR="00482564" w:rsidRDefault="00482564">
            <w:pPr>
              <w:pStyle w:val="bmdsTblBody"/>
              <w:jc w:val="center"/>
            </w:pPr>
            <w:r>
              <w:rPr>
                <w:sz w:val="16"/>
              </w:rPr>
              <w:t>2.4</w:t>
            </w:r>
          </w:p>
        </w:tc>
        <w:tc>
          <w:tcPr>
            <w:tcW w:w="1423" w:type="dxa"/>
            <w:vAlign w:val="center"/>
            <w:hideMark/>
          </w:tcPr>
          <w:p w14:paraId="4F9BF747" w14:textId="77777777" w:rsidR="00482564" w:rsidRDefault="00482564">
            <w:pPr>
              <w:pStyle w:val="bmdsTblBody"/>
              <w:jc w:val="center"/>
            </w:pPr>
            <w:r>
              <w:rPr>
                <w:sz w:val="16"/>
              </w:rPr>
              <w:t>UP</w:t>
            </w:r>
          </w:p>
        </w:tc>
      </w:tr>
      <w:tr w:rsidR="00482564" w14:paraId="14A89A8B" w14:textId="77777777" w:rsidTr="00482564">
        <w:tc>
          <w:tcPr>
            <w:tcW w:w="2094" w:type="dxa"/>
            <w:vAlign w:val="center"/>
            <w:hideMark/>
          </w:tcPr>
          <w:p w14:paraId="5EC673A0" w14:textId="77777777" w:rsidR="00482564" w:rsidRDefault="00482564">
            <w:pPr>
              <w:pStyle w:val="bmdsTblBody"/>
            </w:pPr>
            <w:proofErr w:type="spellStart"/>
            <w:r>
              <w:rPr>
                <w:b/>
              </w:rPr>
              <w:t>ehhadh</w:t>
            </w:r>
            <w:proofErr w:type="spellEnd"/>
          </w:p>
        </w:tc>
        <w:tc>
          <w:tcPr>
            <w:tcW w:w="1308" w:type="dxa"/>
            <w:vAlign w:val="center"/>
            <w:hideMark/>
          </w:tcPr>
          <w:p w14:paraId="7E4EB0B1" w14:textId="77777777" w:rsidR="00482564" w:rsidRDefault="00482564">
            <w:pPr>
              <w:pStyle w:val="bmdsTblBody"/>
              <w:jc w:val="center"/>
            </w:pPr>
            <w:r>
              <w:rPr>
                <w:sz w:val="16"/>
              </w:rPr>
              <w:t>171142</w:t>
            </w:r>
          </w:p>
        </w:tc>
        <w:tc>
          <w:tcPr>
            <w:tcW w:w="1780" w:type="dxa"/>
            <w:vAlign w:val="center"/>
            <w:hideMark/>
          </w:tcPr>
          <w:p w14:paraId="2BDD61E6" w14:textId="77777777" w:rsidR="00482564" w:rsidRDefault="00482564">
            <w:pPr>
              <w:pStyle w:val="bmdsTblBody"/>
              <w:jc w:val="center"/>
            </w:pPr>
            <w:r>
              <w:rPr>
                <w:sz w:val="16"/>
              </w:rPr>
              <w:t>EHHADH_8534</w:t>
            </w:r>
          </w:p>
        </w:tc>
        <w:tc>
          <w:tcPr>
            <w:tcW w:w="1377" w:type="dxa"/>
            <w:vAlign w:val="center"/>
            <w:hideMark/>
          </w:tcPr>
          <w:p w14:paraId="67018819" w14:textId="77777777" w:rsidR="00482564" w:rsidRDefault="00482564">
            <w:pPr>
              <w:pStyle w:val="bmdsTblBody"/>
              <w:jc w:val="center"/>
            </w:pPr>
            <w:r>
              <w:rPr>
                <w:sz w:val="16"/>
              </w:rPr>
              <w:t>7.300 (5.266-11.878)</w:t>
            </w:r>
          </w:p>
        </w:tc>
        <w:tc>
          <w:tcPr>
            <w:tcW w:w="1378" w:type="dxa"/>
            <w:vAlign w:val="center"/>
            <w:hideMark/>
          </w:tcPr>
          <w:p w14:paraId="40CF153A" w14:textId="77777777" w:rsidR="00482564" w:rsidRDefault="00482564">
            <w:pPr>
              <w:pStyle w:val="bmdsTblBody"/>
              <w:jc w:val="center"/>
            </w:pPr>
            <w:r>
              <w:rPr>
                <w:sz w:val="16"/>
              </w:rPr>
              <w:t>4.0</w:t>
            </w:r>
          </w:p>
        </w:tc>
        <w:tc>
          <w:tcPr>
            <w:tcW w:w="1423" w:type="dxa"/>
            <w:vAlign w:val="center"/>
            <w:hideMark/>
          </w:tcPr>
          <w:p w14:paraId="636E2C5B" w14:textId="77777777" w:rsidR="00482564" w:rsidRDefault="00482564">
            <w:pPr>
              <w:pStyle w:val="bmdsTblBody"/>
              <w:jc w:val="center"/>
            </w:pPr>
            <w:r>
              <w:rPr>
                <w:sz w:val="16"/>
              </w:rPr>
              <w:t>UP</w:t>
            </w:r>
          </w:p>
        </w:tc>
      </w:tr>
      <w:tr w:rsidR="00482564" w14:paraId="788F5CBE" w14:textId="77777777" w:rsidTr="00482564">
        <w:tc>
          <w:tcPr>
            <w:tcW w:w="2094" w:type="dxa"/>
            <w:vAlign w:val="center"/>
            <w:hideMark/>
          </w:tcPr>
          <w:p w14:paraId="233D8729" w14:textId="77777777" w:rsidR="00482564" w:rsidRDefault="00482564">
            <w:pPr>
              <w:pStyle w:val="bmdsTblBody"/>
            </w:pPr>
            <w:proofErr w:type="spellStart"/>
            <w:r>
              <w:rPr>
                <w:b/>
              </w:rPr>
              <w:t>cyp2b1</w:t>
            </w:r>
            <w:proofErr w:type="spellEnd"/>
          </w:p>
        </w:tc>
        <w:tc>
          <w:tcPr>
            <w:tcW w:w="1308" w:type="dxa"/>
            <w:vAlign w:val="center"/>
            <w:hideMark/>
          </w:tcPr>
          <w:p w14:paraId="0A77005F" w14:textId="77777777" w:rsidR="00482564" w:rsidRDefault="00482564">
            <w:pPr>
              <w:pStyle w:val="bmdsTblBody"/>
              <w:jc w:val="center"/>
            </w:pPr>
            <w:r>
              <w:rPr>
                <w:sz w:val="16"/>
              </w:rPr>
              <w:t>24300</w:t>
            </w:r>
          </w:p>
        </w:tc>
        <w:tc>
          <w:tcPr>
            <w:tcW w:w="1780" w:type="dxa"/>
            <w:vAlign w:val="center"/>
            <w:hideMark/>
          </w:tcPr>
          <w:p w14:paraId="1255F323" w14:textId="77777777" w:rsidR="00482564" w:rsidRDefault="00482564">
            <w:pPr>
              <w:pStyle w:val="bmdsTblBody"/>
              <w:jc w:val="center"/>
            </w:pPr>
            <w:r>
              <w:rPr>
                <w:sz w:val="16"/>
              </w:rPr>
              <w:t>CYP2B1_32451</w:t>
            </w:r>
          </w:p>
        </w:tc>
        <w:tc>
          <w:tcPr>
            <w:tcW w:w="1377" w:type="dxa"/>
            <w:vAlign w:val="center"/>
            <w:hideMark/>
          </w:tcPr>
          <w:p w14:paraId="065D4927" w14:textId="77777777" w:rsidR="00482564" w:rsidRDefault="00482564">
            <w:pPr>
              <w:pStyle w:val="bmdsTblBody"/>
              <w:jc w:val="center"/>
            </w:pPr>
            <w:r>
              <w:rPr>
                <w:sz w:val="16"/>
              </w:rPr>
              <w:t>7.456 (5.106-13.104)</w:t>
            </w:r>
          </w:p>
        </w:tc>
        <w:tc>
          <w:tcPr>
            <w:tcW w:w="1378" w:type="dxa"/>
            <w:vAlign w:val="center"/>
            <w:hideMark/>
          </w:tcPr>
          <w:p w14:paraId="43CC22ED" w14:textId="77777777" w:rsidR="00482564" w:rsidRDefault="00482564">
            <w:pPr>
              <w:pStyle w:val="bmdsTblBody"/>
              <w:jc w:val="center"/>
            </w:pPr>
            <w:r>
              <w:rPr>
                <w:sz w:val="16"/>
              </w:rPr>
              <w:t>31.5</w:t>
            </w:r>
          </w:p>
        </w:tc>
        <w:tc>
          <w:tcPr>
            <w:tcW w:w="1423" w:type="dxa"/>
            <w:vAlign w:val="center"/>
            <w:hideMark/>
          </w:tcPr>
          <w:p w14:paraId="0964BC10" w14:textId="77777777" w:rsidR="00482564" w:rsidRDefault="00482564">
            <w:pPr>
              <w:pStyle w:val="bmdsTblBody"/>
              <w:jc w:val="center"/>
            </w:pPr>
            <w:r>
              <w:rPr>
                <w:sz w:val="16"/>
              </w:rPr>
              <w:t>UP</w:t>
            </w:r>
          </w:p>
        </w:tc>
      </w:tr>
      <w:tr w:rsidR="00482564" w14:paraId="0FFA513F" w14:textId="77777777" w:rsidTr="00482564">
        <w:tc>
          <w:tcPr>
            <w:tcW w:w="2094" w:type="dxa"/>
            <w:vAlign w:val="center"/>
            <w:hideMark/>
          </w:tcPr>
          <w:p w14:paraId="2EE5E84D" w14:textId="77777777" w:rsidR="00482564" w:rsidRDefault="00482564">
            <w:pPr>
              <w:pStyle w:val="bmdsTblBody"/>
            </w:pPr>
            <w:proofErr w:type="spellStart"/>
            <w:r>
              <w:rPr>
                <w:b/>
              </w:rPr>
              <w:t>loc108348266</w:t>
            </w:r>
            <w:proofErr w:type="spellEnd"/>
          </w:p>
        </w:tc>
        <w:tc>
          <w:tcPr>
            <w:tcW w:w="1308" w:type="dxa"/>
            <w:vAlign w:val="center"/>
            <w:hideMark/>
          </w:tcPr>
          <w:p w14:paraId="450D8E71" w14:textId="77777777" w:rsidR="00482564" w:rsidRDefault="00482564">
            <w:pPr>
              <w:pStyle w:val="bmdsTblBody"/>
              <w:jc w:val="center"/>
            </w:pPr>
            <w:r>
              <w:rPr>
                <w:sz w:val="16"/>
              </w:rPr>
              <w:t>108348266</w:t>
            </w:r>
          </w:p>
        </w:tc>
        <w:tc>
          <w:tcPr>
            <w:tcW w:w="1780" w:type="dxa"/>
            <w:vAlign w:val="center"/>
            <w:hideMark/>
          </w:tcPr>
          <w:p w14:paraId="341E4EEE" w14:textId="77777777" w:rsidR="00482564" w:rsidRDefault="00482564">
            <w:pPr>
              <w:pStyle w:val="bmdsTblBody"/>
              <w:jc w:val="center"/>
            </w:pPr>
            <w:r>
              <w:rPr>
                <w:sz w:val="16"/>
              </w:rPr>
              <w:t>CYP2B1_32451</w:t>
            </w:r>
          </w:p>
        </w:tc>
        <w:tc>
          <w:tcPr>
            <w:tcW w:w="1377" w:type="dxa"/>
            <w:vAlign w:val="center"/>
            <w:hideMark/>
          </w:tcPr>
          <w:p w14:paraId="09C6DE0D" w14:textId="77777777" w:rsidR="00482564" w:rsidRDefault="00482564">
            <w:pPr>
              <w:pStyle w:val="bmdsTblBody"/>
              <w:jc w:val="center"/>
            </w:pPr>
            <w:r>
              <w:rPr>
                <w:sz w:val="16"/>
              </w:rPr>
              <w:t>7.456 (5.106-13.104)</w:t>
            </w:r>
          </w:p>
        </w:tc>
        <w:tc>
          <w:tcPr>
            <w:tcW w:w="1378" w:type="dxa"/>
            <w:vAlign w:val="center"/>
            <w:hideMark/>
          </w:tcPr>
          <w:p w14:paraId="2D41472E" w14:textId="77777777" w:rsidR="00482564" w:rsidRDefault="00482564">
            <w:pPr>
              <w:pStyle w:val="bmdsTblBody"/>
              <w:jc w:val="center"/>
            </w:pPr>
            <w:r>
              <w:rPr>
                <w:sz w:val="16"/>
              </w:rPr>
              <w:t>31.5</w:t>
            </w:r>
          </w:p>
        </w:tc>
        <w:tc>
          <w:tcPr>
            <w:tcW w:w="1423" w:type="dxa"/>
            <w:vAlign w:val="center"/>
            <w:hideMark/>
          </w:tcPr>
          <w:p w14:paraId="3C547ADD" w14:textId="77777777" w:rsidR="00482564" w:rsidRDefault="00482564">
            <w:pPr>
              <w:pStyle w:val="bmdsTblBody"/>
              <w:jc w:val="center"/>
            </w:pPr>
            <w:r>
              <w:rPr>
                <w:sz w:val="16"/>
              </w:rPr>
              <w:t>UP</w:t>
            </w:r>
          </w:p>
        </w:tc>
      </w:tr>
      <w:tr w:rsidR="00482564" w14:paraId="749BC605" w14:textId="77777777" w:rsidTr="00482564">
        <w:tc>
          <w:tcPr>
            <w:tcW w:w="2094" w:type="dxa"/>
            <w:vAlign w:val="center"/>
            <w:hideMark/>
          </w:tcPr>
          <w:p w14:paraId="110B9304" w14:textId="77777777" w:rsidR="00482564" w:rsidRDefault="00482564">
            <w:pPr>
              <w:pStyle w:val="bmdsTblBody"/>
            </w:pPr>
            <w:proofErr w:type="spellStart"/>
            <w:r>
              <w:rPr>
                <w:b/>
              </w:rPr>
              <w:t>cyp2c6v1</w:t>
            </w:r>
            <w:proofErr w:type="spellEnd"/>
          </w:p>
        </w:tc>
        <w:tc>
          <w:tcPr>
            <w:tcW w:w="1308" w:type="dxa"/>
            <w:vAlign w:val="center"/>
            <w:hideMark/>
          </w:tcPr>
          <w:p w14:paraId="0413AB9E" w14:textId="77777777" w:rsidR="00482564" w:rsidRDefault="00482564">
            <w:pPr>
              <w:pStyle w:val="bmdsTblBody"/>
              <w:jc w:val="center"/>
            </w:pPr>
            <w:r>
              <w:rPr>
                <w:sz w:val="16"/>
              </w:rPr>
              <w:t>293989</w:t>
            </w:r>
          </w:p>
        </w:tc>
        <w:tc>
          <w:tcPr>
            <w:tcW w:w="1780" w:type="dxa"/>
            <w:vAlign w:val="center"/>
            <w:hideMark/>
          </w:tcPr>
          <w:p w14:paraId="01AB717E" w14:textId="77777777" w:rsidR="00482564" w:rsidRDefault="00482564">
            <w:pPr>
              <w:pStyle w:val="bmdsTblBody"/>
              <w:jc w:val="center"/>
            </w:pPr>
            <w:r>
              <w:rPr>
                <w:sz w:val="16"/>
              </w:rPr>
              <w:t>CYP2C6V1_33169</w:t>
            </w:r>
          </w:p>
        </w:tc>
        <w:tc>
          <w:tcPr>
            <w:tcW w:w="1377" w:type="dxa"/>
            <w:vAlign w:val="center"/>
            <w:hideMark/>
          </w:tcPr>
          <w:p w14:paraId="292D9EE1" w14:textId="77777777" w:rsidR="00482564" w:rsidRDefault="00482564">
            <w:pPr>
              <w:pStyle w:val="bmdsTblBody"/>
              <w:jc w:val="center"/>
            </w:pPr>
            <w:r>
              <w:rPr>
                <w:sz w:val="16"/>
              </w:rPr>
              <w:t>9.829 (7.252-14.982)</w:t>
            </w:r>
          </w:p>
        </w:tc>
        <w:tc>
          <w:tcPr>
            <w:tcW w:w="1378" w:type="dxa"/>
            <w:vAlign w:val="center"/>
            <w:hideMark/>
          </w:tcPr>
          <w:p w14:paraId="5634E8BE" w14:textId="77777777" w:rsidR="00482564" w:rsidRDefault="00482564">
            <w:pPr>
              <w:pStyle w:val="bmdsTblBody"/>
              <w:jc w:val="center"/>
            </w:pPr>
            <w:r>
              <w:rPr>
                <w:sz w:val="16"/>
              </w:rPr>
              <w:t>2.4</w:t>
            </w:r>
          </w:p>
        </w:tc>
        <w:tc>
          <w:tcPr>
            <w:tcW w:w="1423" w:type="dxa"/>
            <w:vAlign w:val="center"/>
            <w:hideMark/>
          </w:tcPr>
          <w:p w14:paraId="46D1AB0C" w14:textId="77777777" w:rsidR="00482564" w:rsidRDefault="00482564">
            <w:pPr>
              <w:pStyle w:val="bmdsTblBody"/>
              <w:jc w:val="center"/>
            </w:pPr>
            <w:r>
              <w:rPr>
                <w:sz w:val="16"/>
              </w:rPr>
              <w:t>UP</w:t>
            </w:r>
          </w:p>
        </w:tc>
      </w:tr>
      <w:tr w:rsidR="00482564" w14:paraId="4324C8A6" w14:textId="77777777" w:rsidTr="00482564">
        <w:tc>
          <w:tcPr>
            <w:tcW w:w="2094" w:type="dxa"/>
            <w:vAlign w:val="center"/>
            <w:hideMark/>
          </w:tcPr>
          <w:p w14:paraId="1708A5C8" w14:textId="77777777" w:rsidR="00482564" w:rsidRDefault="00482564">
            <w:pPr>
              <w:pStyle w:val="bmdsTblBody"/>
            </w:pPr>
            <w:proofErr w:type="spellStart"/>
            <w:r>
              <w:rPr>
                <w:b/>
              </w:rPr>
              <w:t>loc100911718</w:t>
            </w:r>
            <w:proofErr w:type="spellEnd"/>
          </w:p>
        </w:tc>
        <w:tc>
          <w:tcPr>
            <w:tcW w:w="1308" w:type="dxa"/>
            <w:vAlign w:val="center"/>
            <w:hideMark/>
          </w:tcPr>
          <w:p w14:paraId="41CC95CA" w14:textId="77777777" w:rsidR="00482564" w:rsidRDefault="00482564">
            <w:pPr>
              <w:pStyle w:val="bmdsTblBody"/>
              <w:jc w:val="center"/>
            </w:pPr>
            <w:r>
              <w:rPr>
                <w:sz w:val="16"/>
              </w:rPr>
              <w:t>100911718</w:t>
            </w:r>
          </w:p>
        </w:tc>
        <w:tc>
          <w:tcPr>
            <w:tcW w:w="1780" w:type="dxa"/>
            <w:vAlign w:val="center"/>
            <w:hideMark/>
          </w:tcPr>
          <w:p w14:paraId="609B3FB2" w14:textId="77777777" w:rsidR="00482564" w:rsidRDefault="00482564">
            <w:pPr>
              <w:pStyle w:val="bmdsTblBody"/>
              <w:jc w:val="center"/>
            </w:pPr>
            <w:r>
              <w:rPr>
                <w:sz w:val="16"/>
              </w:rPr>
              <w:t>CYP2C6V1_33169</w:t>
            </w:r>
          </w:p>
        </w:tc>
        <w:tc>
          <w:tcPr>
            <w:tcW w:w="1377" w:type="dxa"/>
            <w:vAlign w:val="center"/>
            <w:hideMark/>
          </w:tcPr>
          <w:p w14:paraId="3EE77D49" w14:textId="77777777" w:rsidR="00482564" w:rsidRDefault="00482564">
            <w:pPr>
              <w:pStyle w:val="bmdsTblBody"/>
              <w:jc w:val="center"/>
            </w:pPr>
            <w:r>
              <w:rPr>
                <w:sz w:val="16"/>
              </w:rPr>
              <w:t>9.829 (7.252-14.982)</w:t>
            </w:r>
          </w:p>
        </w:tc>
        <w:tc>
          <w:tcPr>
            <w:tcW w:w="1378" w:type="dxa"/>
            <w:vAlign w:val="center"/>
            <w:hideMark/>
          </w:tcPr>
          <w:p w14:paraId="51BE2964" w14:textId="77777777" w:rsidR="00482564" w:rsidRDefault="00482564">
            <w:pPr>
              <w:pStyle w:val="bmdsTblBody"/>
              <w:jc w:val="center"/>
            </w:pPr>
            <w:r>
              <w:rPr>
                <w:sz w:val="16"/>
              </w:rPr>
              <w:t>2.4</w:t>
            </w:r>
          </w:p>
        </w:tc>
        <w:tc>
          <w:tcPr>
            <w:tcW w:w="1423" w:type="dxa"/>
            <w:vAlign w:val="center"/>
            <w:hideMark/>
          </w:tcPr>
          <w:p w14:paraId="0746D34C" w14:textId="77777777" w:rsidR="00482564" w:rsidRDefault="00482564">
            <w:pPr>
              <w:pStyle w:val="bmdsTblBody"/>
              <w:jc w:val="center"/>
            </w:pPr>
            <w:r>
              <w:rPr>
                <w:sz w:val="16"/>
              </w:rPr>
              <w:t>UP</w:t>
            </w:r>
          </w:p>
        </w:tc>
      </w:tr>
      <w:tr w:rsidR="00482564" w14:paraId="28807C1C" w14:textId="77777777" w:rsidTr="00482564">
        <w:tc>
          <w:tcPr>
            <w:tcW w:w="2094" w:type="dxa"/>
            <w:tcBorders>
              <w:top w:val="nil"/>
              <w:left w:val="nil"/>
              <w:bottom w:val="single" w:sz="2" w:space="0" w:color="000000"/>
              <w:right w:val="nil"/>
            </w:tcBorders>
            <w:vAlign w:val="center"/>
            <w:hideMark/>
          </w:tcPr>
          <w:p w14:paraId="7532716D" w14:textId="77777777" w:rsidR="00482564" w:rsidRDefault="00482564">
            <w:pPr>
              <w:pStyle w:val="bmdsTblBody"/>
            </w:pPr>
            <w:proofErr w:type="spellStart"/>
            <w:r>
              <w:rPr>
                <w:b/>
              </w:rPr>
              <w:t>ech1</w:t>
            </w:r>
            <w:proofErr w:type="spellEnd"/>
          </w:p>
        </w:tc>
        <w:tc>
          <w:tcPr>
            <w:tcW w:w="1308" w:type="dxa"/>
            <w:tcBorders>
              <w:top w:val="nil"/>
              <w:left w:val="nil"/>
              <w:bottom w:val="single" w:sz="2" w:space="0" w:color="000000"/>
              <w:right w:val="nil"/>
            </w:tcBorders>
            <w:vAlign w:val="center"/>
            <w:hideMark/>
          </w:tcPr>
          <w:p w14:paraId="2B365CBB" w14:textId="77777777" w:rsidR="00482564" w:rsidRDefault="00482564">
            <w:pPr>
              <w:pStyle w:val="bmdsTblBody"/>
              <w:jc w:val="center"/>
            </w:pPr>
            <w:r>
              <w:rPr>
                <w:sz w:val="16"/>
              </w:rPr>
              <w:t>64526</w:t>
            </w:r>
          </w:p>
        </w:tc>
        <w:tc>
          <w:tcPr>
            <w:tcW w:w="1780" w:type="dxa"/>
            <w:tcBorders>
              <w:top w:val="nil"/>
              <w:left w:val="nil"/>
              <w:bottom w:val="single" w:sz="2" w:space="0" w:color="000000"/>
              <w:right w:val="nil"/>
            </w:tcBorders>
            <w:vAlign w:val="center"/>
            <w:hideMark/>
          </w:tcPr>
          <w:p w14:paraId="5F904EC5" w14:textId="77777777" w:rsidR="00482564" w:rsidRDefault="00482564">
            <w:pPr>
              <w:pStyle w:val="bmdsTblBody"/>
              <w:jc w:val="center"/>
            </w:pPr>
            <w:r>
              <w:rPr>
                <w:sz w:val="16"/>
              </w:rPr>
              <w:t>ECH1_8516</w:t>
            </w:r>
          </w:p>
        </w:tc>
        <w:tc>
          <w:tcPr>
            <w:tcW w:w="1377" w:type="dxa"/>
            <w:tcBorders>
              <w:top w:val="nil"/>
              <w:left w:val="nil"/>
              <w:bottom w:val="single" w:sz="2" w:space="0" w:color="000000"/>
              <w:right w:val="nil"/>
            </w:tcBorders>
            <w:vAlign w:val="center"/>
            <w:hideMark/>
          </w:tcPr>
          <w:p w14:paraId="3E2AB76E" w14:textId="77777777" w:rsidR="00482564" w:rsidRDefault="00482564">
            <w:pPr>
              <w:pStyle w:val="bmdsTblBody"/>
              <w:jc w:val="center"/>
            </w:pPr>
            <w:r>
              <w:rPr>
                <w:sz w:val="16"/>
              </w:rPr>
              <w:t>9.874 (6.591-19.440)</w:t>
            </w:r>
          </w:p>
        </w:tc>
        <w:tc>
          <w:tcPr>
            <w:tcW w:w="1378" w:type="dxa"/>
            <w:tcBorders>
              <w:top w:val="nil"/>
              <w:left w:val="nil"/>
              <w:bottom w:val="single" w:sz="2" w:space="0" w:color="000000"/>
              <w:right w:val="nil"/>
            </w:tcBorders>
            <w:vAlign w:val="center"/>
            <w:hideMark/>
          </w:tcPr>
          <w:p w14:paraId="07CBC4F7" w14:textId="77777777" w:rsidR="00482564" w:rsidRDefault="00482564">
            <w:pPr>
              <w:pStyle w:val="bmdsTblBody"/>
              <w:jc w:val="center"/>
            </w:pPr>
            <w:r>
              <w:rPr>
                <w:sz w:val="16"/>
              </w:rPr>
              <w:t>3.6</w:t>
            </w:r>
          </w:p>
        </w:tc>
        <w:tc>
          <w:tcPr>
            <w:tcW w:w="1423" w:type="dxa"/>
            <w:tcBorders>
              <w:top w:val="nil"/>
              <w:left w:val="nil"/>
              <w:bottom w:val="single" w:sz="2" w:space="0" w:color="000000"/>
              <w:right w:val="nil"/>
            </w:tcBorders>
            <w:vAlign w:val="center"/>
            <w:hideMark/>
          </w:tcPr>
          <w:p w14:paraId="2F4FEE94" w14:textId="77777777" w:rsidR="00482564" w:rsidRDefault="00482564">
            <w:pPr>
              <w:pStyle w:val="bmdsTblBody"/>
              <w:jc w:val="center"/>
            </w:pPr>
            <w:r>
              <w:rPr>
                <w:sz w:val="16"/>
              </w:rPr>
              <w:t>UP</w:t>
            </w:r>
          </w:p>
        </w:tc>
      </w:tr>
    </w:tbl>
    <w:p w14:paraId="6425F791" w14:textId="77777777" w:rsidR="00482564" w:rsidRDefault="00482564" w:rsidP="00482564">
      <w:pPr>
        <w:rPr>
          <w:rFonts w:ascii="Times New Roman" w:hAnsi="Times New Roman" w:cs="Times New Roman"/>
          <w:color w:val="000000" w:themeColor="text1"/>
          <w:sz w:val="18"/>
          <w:szCs w:val="18"/>
        </w:rPr>
      </w:pPr>
      <w:bookmarkStart w:id="0" w:name="_Hlk70340897"/>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6"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7"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bookmarkEnd w:id="0"/>
    <w:p w14:paraId="1F9754C3" w14:textId="5496326F" w:rsidR="00482564" w:rsidRDefault="00482564" w:rsidP="00482564">
      <w:pPr>
        <w:pStyle w:val="bmdsTblFootnote"/>
      </w:pPr>
      <w:r>
        <w:rPr>
          <w:b/>
        </w:rPr>
        <w:t>Gene definition version:</w:t>
      </w:r>
      <w:r>
        <w:t xml:space="preserve"> </w:t>
      </w:r>
      <w:r w:rsidR="000962D3" w:rsidRPr="000E6A0C">
        <w:rPr>
          <w:rFonts w:eastAsia="Calibri" w:cs="Times New Roman"/>
          <w:bCs/>
          <w:szCs w:val="18"/>
        </w:rPr>
        <w:t xml:space="preserve">https://cebs.niehs.nih.gov/cebs/study/002-00600-0002-000-0 </w:t>
      </w:r>
      <w:proofErr w:type="spellStart"/>
      <w:r w:rsidR="000962D3" w:rsidRPr="000E6A0C">
        <w:rPr>
          <w:rFonts w:eastAsia="Calibri" w:cs="Times New Roman"/>
          <w:bCs/>
          <w:szCs w:val="18"/>
        </w:rPr>
        <w:t>V052</w:t>
      </w:r>
      <w:r w:rsidR="00E25E4D">
        <w:rPr>
          <w:rFonts w:eastAsia="Calibri" w:cs="Times New Roman"/>
          <w:bCs/>
          <w:szCs w:val="18"/>
        </w:rPr>
        <w:t>8</w:t>
      </w:r>
      <w:r w:rsidR="000962D3" w:rsidRPr="000E6A0C">
        <w:rPr>
          <w:rFonts w:eastAsia="Calibri" w:cs="Times New Roman"/>
          <w:bCs/>
          <w:szCs w:val="18"/>
        </w:rPr>
        <w:t>2021</w:t>
      </w:r>
      <w:proofErr w:type="spellEnd"/>
    </w:p>
    <w:p w14:paraId="0B9B8393" w14:textId="77777777" w:rsidR="00482564" w:rsidRDefault="00482564" w:rsidP="00482564">
      <w:pPr>
        <w:pStyle w:val="bmdsTblFootnote"/>
      </w:pPr>
      <w:proofErr w:type="spellStart"/>
      <w:r>
        <w:rPr>
          <w:b/>
        </w:rPr>
        <w:t>A2m</w:t>
      </w:r>
      <w:proofErr w:type="spellEnd"/>
      <w:r>
        <w:rPr>
          <w:b/>
        </w:rPr>
        <w:t>:</w:t>
      </w:r>
      <w:r>
        <w:rPr>
          <w:i/>
        </w:rPr>
        <w:t xml:space="preserve"> Human </w:t>
      </w:r>
      <w:proofErr w:type="spellStart"/>
      <w:r>
        <w:rPr>
          <w:i/>
        </w:rPr>
        <w:t>Uniprot</w:t>
      </w:r>
      <w:proofErr w:type="spellEnd"/>
      <w:r>
        <w:rPr>
          <w:i/>
        </w:rPr>
        <w:t xml:space="preserve"> function (Human A2M):</w:t>
      </w:r>
      <w:r>
        <w:t xml:space="preserve"> </w:t>
      </w:r>
      <w:proofErr w:type="gramStart"/>
      <w:r>
        <w:t>Is able to</w:t>
      </w:r>
      <w:proofErr w:type="gramEnd"/>
      <w:r>
        <w:t xml:space="preserve"> inhibit all four classes of proteinases by a unique 'trapping' mechanism. This protein has a peptide stretch, called the 'bait region' 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Following cleavage in the bait region, a thioester bond is hydrolyzed and mediates the covalent binding of the protein to the proteinase.</w:t>
      </w:r>
    </w:p>
    <w:p w14:paraId="681363DC" w14:textId="77777777" w:rsidR="00482564" w:rsidRDefault="00482564" w:rsidP="00482564">
      <w:pPr>
        <w:pStyle w:val="bmdsTblFootnote"/>
      </w:pPr>
      <w:r>
        <w:rPr>
          <w:b/>
        </w:rPr>
        <w:t>LOC100911545:</w:t>
      </w:r>
      <w:r>
        <w:rPr>
          <w:i/>
        </w:rPr>
        <w:t xml:space="preserve"> Human </w:t>
      </w:r>
      <w:proofErr w:type="spellStart"/>
      <w:r>
        <w:rPr>
          <w:i/>
        </w:rPr>
        <w:t>Uniprot</w:t>
      </w:r>
      <w:proofErr w:type="spellEnd"/>
      <w:r>
        <w:rPr>
          <w:i/>
        </w:rPr>
        <w:t xml:space="preserve"> function (Human A2M):</w:t>
      </w:r>
      <w:r>
        <w:t xml:space="preserve"> </w:t>
      </w:r>
      <w:proofErr w:type="gramStart"/>
      <w:r>
        <w:t>Is able to</w:t>
      </w:r>
      <w:proofErr w:type="gramEnd"/>
      <w:r>
        <w:t xml:space="preserve"> inhibit all four classes of proteinases by a unique 'trapping' mechanism. This protein has a peptide stretch, called the 'bait region' 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Following cleavage in the bait region, a thioester bond is hydrolyzed and mediates the covalent binding of the protein to the proteinase. A2MG_</w:t>
      </w:r>
      <w:proofErr w:type="gramStart"/>
      <w:r>
        <w:t>HUMAN,P</w:t>
      </w:r>
      <w:proofErr w:type="gramEnd"/>
      <w:r>
        <w:t>01023</w:t>
      </w:r>
    </w:p>
    <w:p w14:paraId="4AEAD75F" w14:textId="77777777" w:rsidR="00482564" w:rsidRDefault="00482564" w:rsidP="00482564">
      <w:pPr>
        <w:pStyle w:val="bmdsTblFootnote"/>
      </w:pPr>
      <w:r>
        <w:rPr>
          <w:b/>
        </w:rPr>
        <w:t>Dao:</w:t>
      </w:r>
      <w:r>
        <w:rPr>
          <w:i/>
        </w:rPr>
        <w:t xml:space="preserve"> Human </w:t>
      </w:r>
      <w:proofErr w:type="spellStart"/>
      <w:r>
        <w:rPr>
          <w:i/>
        </w:rPr>
        <w:t>Uniprot</w:t>
      </w:r>
      <w:proofErr w:type="spellEnd"/>
      <w:r>
        <w:rPr>
          <w:i/>
        </w:rPr>
        <w:t xml:space="preserve"> function (Human DAO):</w:t>
      </w:r>
      <w:r>
        <w:t xml:space="preserve"> Regulates the level of the neuromodulator D-serine in the brain. Has high activity towards D-DOPA and contributes to dopamine synthesis. Could act as a detoxifying agent which removes D-amino acids accumulated during aging. Acts on a variety of D-amino acids with a preference for those having small hydrophobic side chains followed by those bearing polar, aromatic, and basic groups. Does not act on acidic amino acids. {</w:t>
      </w:r>
      <w:proofErr w:type="spellStart"/>
      <w:r>
        <w:t>ECO0000269|PubMed17303072</w:t>
      </w:r>
      <w:proofErr w:type="spellEnd"/>
      <w:r>
        <w:t>}.</w:t>
      </w:r>
    </w:p>
    <w:p w14:paraId="2E55394B" w14:textId="77777777" w:rsidR="00482564" w:rsidRDefault="00482564" w:rsidP="00482564">
      <w:pPr>
        <w:pStyle w:val="bmdsTblFootnote"/>
      </w:pPr>
      <w:proofErr w:type="spellStart"/>
      <w:r>
        <w:rPr>
          <w:b/>
        </w:rPr>
        <w:t>Ephx2</w:t>
      </w:r>
      <w:proofErr w:type="spellEnd"/>
      <w:r>
        <w:rPr>
          <w:b/>
        </w:rPr>
        <w:t>:</w:t>
      </w:r>
      <w:r>
        <w:rPr>
          <w:i/>
        </w:rPr>
        <w:t xml:space="preserve"> Human </w:t>
      </w:r>
      <w:proofErr w:type="spellStart"/>
      <w:r>
        <w:rPr>
          <w:i/>
        </w:rPr>
        <w:t>Uniprot</w:t>
      </w:r>
      <w:proofErr w:type="spellEnd"/>
      <w:r>
        <w:rPr>
          <w:i/>
        </w:rPr>
        <w:t xml:space="preserve"> function (Human EPHX2):</w:t>
      </w:r>
      <w:r>
        <w:t xml:space="preserve"> Bifunctional enzyme (</w:t>
      </w:r>
      <w:proofErr w:type="spellStart"/>
      <w:r>
        <w:t>PubMed12574510</w:t>
      </w:r>
      <w:proofErr w:type="spellEnd"/>
      <w:r>
        <w:t>). The C-terminal domain has epoxide hydrolase activity and acts on epoxides (alkene oxides, oxiranes) and arene oxides (</w:t>
      </w:r>
      <w:proofErr w:type="spellStart"/>
      <w:r>
        <w:t>PubMed12869654</w:t>
      </w:r>
      <w:proofErr w:type="spellEnd"/>
      <w:r>
        <w:t xml:space="preserve">, </w:t>
      </w:r>
      <w:proofErr w:type="spellStart"/>
      <w:r>
        <w:t>PubMed12574510</w:t>
      </w:r>
      <w:proofErr w:type="spellEnd"/>
      <w:r>
        <w:t xml:space="preserve">, </w:t>
      </w:r>
      <w:proofErr w:type="spellStart"/>
      <w:r>
        <w:t>PubMed22798687</w:t>
      </w:r>
      <w:proofErr w:type="spellEnd"/>
      <w:r>
        <w:t>). Plays a role in xenobiotic metabolism by degrading potentially toxic epoxides (By similarity). Also determines steady-state levels of physiological mediators (</w:t>
      </w:r>
      <w:proofErr w:type="spellStart"/>
      <w:r>
        <w:t>PubMed12869654</w:t>
      </w:r>
      <w:proofErr w:type="spellEnd"/>
      <w:r>
        <w:t xml:space="preserve">, </w:t>
      </w:r>
      <w:proofErr w:type="spellStart"/>
      <w:r>
        <w:t>PubMed12574510</w:t>
      </w:r>
      <w:proofErr w:type="spellEnd"/>
      <w:r>
        <w:t xml:space="preserve">, </w:t>
      </w:r>
      <w:proofErr w:type="spellStart"/>
      <w:r>
        <w:t>PubMed22798687</w:t>
      </w:r>
      <w:proofErr w:type="spellEnd"/>
      <w:r>
        <w:t xml:space="preserve">, </w:t>
      </w:r>
      <w:proofErr w:type="spellStart"/>
      <w:r>
        <w:t>PubMed21217101</w:t>
      </w:r>
      <w:proofErr w:type="spellEnd"/>
      <w:r>
        <w:t>). {</w:t>
      </w:r>
      <w:proofErr w:type="spellStart"/>
      <w:r>
        <w:t>ECO0000250|UniProtKBP80299</w:t>
      </w:r>
      <w:proofErr w:type="spellEnd"/>
      <w:r>
        <w:t xml:space="preserve">, </w:t>
      </w:r>
      <w:proofErr w:type="spellStart"/>
      <w:r>
        <w:t>ECO0000269|PubMed12574508</w:t>
      </w:r>
      <w:proofErr w:type="spellEnd"/>
      <w:r>
        <w:t xml:space="preserve">, </w:t>
      </w:r>
      <w:proofErr w:type="spellStart"/>
      <w:r>
        <w:t>ECO0000269|PubMed12574510</w:t>
      </w:r>
      <w:proofErr w:type="spellEnd"/>
      <w:r>
        <w:t xml:space="preserve">, </w:t>
      </w:r>
      <w:proofErr w:type="spellStart"/>
      <w:r>
        <w:t>ECO0000269|PubMed12869654</w:t>
      </w:r>
      <w:proofErr w:type="spellEnd"/>
      <w:r>
        <w:t xml:space="preserve">, </w:t>
      </w:r>
      <w:proofErr w:type="spellStart"/>
      <w:r>
        <w:t>ECO0000269|PubMed21217101</w:t>
      </w:r>
      <w:proofErr w:type="spellEnd"/>
      <w:r>
        <w:t xml:space="preserve">, </w:t>
      </w:r>
      <w:proofErr w:type="spellStart"/>
      <w:r>
        <w:t>ECO0000269|PubMed22798687</w:t>
      </w:r>
      <w:proofErr w:type="spellEnd"/>
      <w:r>
        <w:t>}.; FUNCTION Bifunctional enzyme (</w:t>
      </w:r>
      <w:proofErr w:type="spellStart"/>
      <w:r>
        <w:t>PubMed12574510</w:t>
      </w:r>
      <w:proofErr w:type="spellEnd"/>
      <w:r>
        <w:t xml:space="preserve">). The N-terminal domain has lipid phosphatase activity, with the highest activity towards </w:t>
      </w:r>
      <w:proofErr w:type="spellStart"/>
      <w:r>
        <w:t>threo</w:t>
      </w:r>
      <w:proofErr w:type="spellEnd"/>
      <w:r>
        <w:t>-9,10-</w:t>
      </w:r>
      <w:proofErr w:type="spellStart"/>
      <w:r>
        <w:t>phosphonooxy</w:t>
      </w:r>
      <w:proofErr w:type="spellEnd"/>
      <w:r>
        <w:t>-hydroxy-octadecanoic acid, followed by erythro-9,10-</w:t>
      </w:r>
      <w:proofErr w:type="spellStart"/>
      <w:r>
        <w:t>phosphonooxy</w:t>
      </w:r>
      <w:proofErr w:type="spellEnd"/>
      <w:r>
        <w:t>-hydroxy-octadecanoic acid, 12-</w:t>
      </w:r>
      <w:proofErr w:type="spellStart"/>
      <w:r>
        <w:t>phosphonooxy</w:t>
      </w:r>
      <w:proofErr w:type="spellEnd"/>
      <w:r>
        <w:t>-</w:t>
      </w:r>
      <w:proofErr w:type="spellStart"/>
      <w:r>
        <w:t>octadec-9Z-enoic</w:t>
      </w:r>
      <w:proofErr w:type="spellEnd"/>
      <w:r>
        <w:t xml:space="preserve"> acid and 12-</w:t>
      </w:r>
      <w:proofErr w:type="spellStart"/>
      <w:r>
        <w:t>phosphonooxy</w:t>
      </w:r>
      <w:proofErr w:type="spellEnd"/>
      <w:r>
        <w:t>-</w:t>
      </w:r>
      <w:proofErr w:type="spellStart"/>
      <w:r>
        <w:t>octadec-9E-enoic</w:t>
      </w:r>
      <w:proofErr w:type="spellEnd"/>
      <w:r>
        <w:t xml:space="preserve"> acid (</w:t>
      </w:r>
      <w:proofErr w:type="spellStart"/>
      <w:r>
        <w:t>PubMed12574510</w:t>
      </w:r>
      <w:proofErr w:type="spellEnd"/>
      <w:r>
        <w:t xml:space="preserve">). Has phosphatase activity toward </w:t>
      </w:r>
      <w:proofErr w:type="spellStart"/>
      <w:r>
        <w:t>lyso</w:t>
      </w:r>
      <w:proofErr w:type="spellEnd"/>
      <w:r>
        <w:t>-glycerophospholipids with also some lower activity toward lysolipids of sphingolipid and isoprenoid phosphates (</w:t>
      </w:r>
      <w:proofErr w:type="spellStart"/>
      <w:r>
        <w:t>PubMed22217705</w:t>
      </w:r>
      <w:proofErr w:type="spellEnd"/>
      <w:r>
        <w:t xml:space="preserve">, </w:t>
      </w:r>
      <w:proofErr w:type="spellStart"/>
      <w:r>
        <w:t>PubMed22387545</w:t>
      </w:r>
      <w:proofErr w:type="spellEnd"/>
      <w:r>
        <w:t>). {</w:t>
      </w:r>
      <w:proofErr w:type="spellStart"/>
      <w:r>
        <w:t>ECO0000269|PubMed12574510</w:t>
      </w:r>
      <w:proofErr w:type="spellEnd"/>
      <w:r>
        <w:t xml:space="preserve">, </w:t>
      </w:r>
      <w:proofErr w:type="spellStart"/>
      <w:r>
        <w:t>ECO0000269|PubMed22217705</w:t>
      </w:r>
      <w:proofErr w:type="spellEnd"/>
      <w:r>
        <w:t xml:space="preserve">, </w:t>
      </w:r>
      <w:proofErr w:type="spellStart"/>
      <w:r>
        <w:t>ECO0000269|PubMed22387545</w:t>
      </w:r>
      <w:proofErr w:type="spellEnd"/>
      <w:r>
        <w:t>}.</w:t>
      </w:r>
    </w:p>
    <w:p w14:paraId="1683CDA9" w14:textId="77777777" w:rsidR="00482564" w:rsidRDefault="00482564" w:rsidP="00482564">
      <w:pPr>
        <w:pStyle w:val="bmdsTblFootnote"/>
      </w:pPr>
      <w:proofErr w:type="spellStart"/>
      <w:r>
        <w:rPr>
          <w:b/>
        </w:rPr>
        <w:t>Ehhadh</w:t>
      </w:r>
      <w:proofErr w:type="spellEnd"/>
      <w:r>
        <w:rPr>
          <w:b/>
        </w:rPr>
        <w:t>:</w:t>
      </w:r>
      <w:r>
        <w:rPr>
          <w:i/>
        </w:rPr>
        <w:t xml:space="preserve"> Human </w:t>
      </w:r>
      <w:proofErr w:type="spellStart"/>
      <w:r>
        <w:rPr>
          <w:i/>
        </w:rPr>
        <w:t>Uniprot</w:t>
      </w:r>
      <w:proofErr w:type="spellEnd"/>
      <w:r>
        <w:rPr>
          <w:i/>
        </w:rPr>
        <w:t xml:space="preserve"> function (Human EHHADH):</w:t>
      </w:r>
      <w:r>
        <w:t xml:space="preserve"> Peroxisomal trifunctional enzyme possessing 2-enoyl-CoA hydratase, 3-</w:t>
      </w:r>
      <w:proofErr w:type="spellStart"/>
      <w:r>
        <w:t>hydroxyacyl</w:t>
      </w:r>
      <w:proofErr w:type="spellEnd"/>
      <w:r>
        <w:t xml:space="preserve">-CoA dehydrogenase, and delta 3, delta 2-enoyl-CoA isomerase activities. Catalyzes two of the four reactions of the long straight chain fatty acids peroxisomal beta-oxidation pathway. Optimal isomerase for 2,5 double bonds into 3,5 form isomerization in a range of enoyl-CoA species (Probable). </w:t>
      </w:r>
      <w:proofErr w:type="gramStart"/>
      <w:r>
        <w:t>Also</w:t>
      </w:r>
      <w:proofErr w:type="gramEnd"/>
      <w:r>
        <w:t xml:space="preserve"> able to isomerize both 3-cis and 3-trans double bonds into the 2-</w:t>
      </w:r>
      <w:r>
        <w:lastRenderedPageBreak/>
        <w:t>trans form in a range of enoyl-CoA species (By similarity). With HSD17B4, catalyzes the hydration of trans-2-enoyl-CoA and the dehydrogenation of 3-</w:t>
      </w:r>
      <w:proofErr w:type="spellStart"/>
      <w:r>
        <w:t>hydroxyacyl</w:t>
      </w:r>
      <w:proofErr w:type="spellEnd"/>
      <w:r>
        <w:t>-CoA, but with opposite chiral specificity (</w:t>
      </w:r>
      <w:proofErr w:type="spellStart"/>
      <w:r>
        <w:t>PubMed15060085</w:t>
      </w:r>
      <w:proofErr w:type="spellEnd"/>
      <w:r>
        <w:t>). Regulates the amount of medium-chain dicarboxylic fatty acids which are essential regulators of all fatty acid oxidation pathways (By similarity). Also involved in the degradation of long-chain dicarboxylic acids through peroxisomal beta-oxidation (</w:t>
      </w:r>
      <w:proofErr w:type="spellStart"/>
      <w:r>
        <w:t>PubMed15060085</w:t>
      </w:r>
      <w:proofErr w:type="spellEnd"/>
      <w:r>
        <w:t>). {</w:t>
      </w:r>
      <w:proofErr w:type="spellStart"/>
      <w:r>
        <w:t>ECO0000250|UniProtKBP07896</w:t>
      </w:r>
      <w:proofErr w:type="spellEnd"/>
      <w:r>
        <w:t xml:space="preserve">, </w:t>
      </w:r>
      <w:proofErr w:type="spellStart"/>
      <w:r>
        <w:t>ECO0000250|UniProtKBQ9DBM2</w:t>
      </w:r>
      <w:proofErr w:type="spellEnd"/>
      <w:r>
        <w:t xml:space="preserve">, </w:t>
      </w:r>
      <w:proofErr w:type="spellStart"/>
      <w:r>
        <w:t>ECO0000269|PubMed15060085</w:t>
      </w:r>
      <w:proofErr w:type="spellEnd"/>
      <w:r>
        <w:t xml:space="preserve">, </w:t>
      </w:r>
      <w:proofErr w:type="spellStart"/>
      <w:r>
        <w:t>ECO0000305|PubMed15060085</w:t>
      </w:r>
      <w:proofErr w:type="spellEnd"/>
      <w:r>
        <w:t>}.</w:t>
      </w:r>
    </w:p>
    <w:p w14:paraId="597596F2" w14:textId="77777777" w:rsidR="00482564" w:rsidRDefault="00482564" w:rsidP="00482564">
      <w:pPr>
        <w:pStyle w:val="bmdsTblFootnote"/>
      </w:pPr>
      <w:proofErr w:type="spellStart"/>
      <w:r>
        <w:rPr>
          <w:b/>
        </w:rPr>
        <w:t>Cyp2b1</w:t>
      </w:r>
      <w:proofErr w:type="spellEnd"/>
      <w:r>
        <w:rPr>
          <w:b/>
        </w:rPr>
        <w:t>:</w:t>
      </w:r>
      <w:r>
        <w:rPr>
          <w:i/>
        </w:rPr>
        <w:t xml:space="preserve"> Human </w:t>
      </w:r>
      <w:proofErr w:type="spellStart"/>
      <w:r>
        <w:rPr>
          <w:i/>
        </w:rPr>
        <w:t>Uniprot</w:t>
      </w:r>
      <w:proofErr w:type="spellEnd"/>
      <w:r>
        <w:rPr>
          <w:i/>
        </w:rPr>
        <w:t xml:space="preserve"> function (Human CYP2B6):</w:t>
      </w:r>
      <w:r>
        <w:t xml:space="preserve"> A cytochrome </w:t>
      </w:r>
      <w:proofErr w:type="spellStart"/>
      <w:r>
        <w:t>P450</w:t>
      </w:r>
      <w:proofErr w:type="spellEnd"/>
      <w:r>
        <w:t xml:space="preserve"> monooxygenase involved in the metabolism of endocannabinoids and steroids (</w:t>
      </w:r>
      <w:proofErr w:type="spellStart"/>
      <w:r>
        <w:t>PubMed21289075</w:t>
      </w:r>
      <w:proofErr w:type="spellEnd"/>
      <w:r>
        <w:t xml:space="preserve">, </w:t>
      </w:r>
      <w:proofErr w:type="spellStart"/>
      <w:r>
        <w:t>PubMed12865317</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(NADPH--hemoprotein reductase). Catalyzes the epoxidation of double bonds of arachidonoylethanolamide (anandamide) to 8,9-, 11,12-, and 14,15-</w:t>
      </w:r>
      <w:proofErr w:type="spellStart"/>
      <w:r>
        <w:t>epoxyeicosatrienoic</w:t>
      </w:r>
      <w:proofErr w:type="spellEnd"/>
      <w:r>
        <w:t xml:space="preserve"> acid </w:t>
      </w:r>
      <w:proofErr w:type="spellStart"/>
      <w:r>
        <w:t>ethanolamides</w:t>
      </w:r>
      <w:proofErr w:type="spellEnd"/>
      <w:r>
        <w:t xml:space="preserve"> (</w:t>
      </w:r>
      <w:proofErr w:type="spellStart"/>
      <w:r>
        <w:t>EpETrE</w:t>
      </w:r>
      <w:proofErr w:type="spellEnd"/>
      <w:r>
        <w:t>-EAs), potentially modulating endocannabinoid system signaling (</w:t>
      </w:r>
      <w:proofErr w:type="spellStart"/>
      <w:r>
        <w:t>PubMed21289075</w:t>
      </w:r>
      <w:proofErr w:type="spellEnd"/>
      <w:r>
        <w:t>). Hydroxylates steroid hormones, including testosterone at C-16 and estrogens at C-2 (</w:t>
      </w:r>
      <w:proofErr w:type="spellStart"/>
      <w:r>
        <w:t>PubMed21289075</w:t>
      </w:r>
      <w:proofErr w:type="spellEnd"/>
      <w:r>
        <w:t xml:space="preserve">, </w:t>
      </w:r>
      <w:proofErr w:type="spellStart"/>
      <w:r>
        <w:t>PubMed12865317</w:t>
      </w:r>
      <w:proofErr w:type="spellEnd"/>
      <w:r>
        <w:t>). Plays a role in the oxidative metabolism of xenobiotics, including plant lipids and drugs (</w:t>
      </w:r>
      <w:proofErr w:type="spellStart"/>
      <w:r>
        <w:t>PubMed11695850</w:t>
      </w:r>
      <w:proofErr w:type="spellEnd"/>
      <w:r>
        <w:t xml:space="preserve">, </w:t>
      </w:r>
      <w:proofErr w:type="spellStart"/>
      <w:r>
        <w:t>PubMed22909231</w:t>
      </w:r>
      <w:proofErr w:type="spellEnd"/>
      <w:r>
        <w:t>). Acts as a 1,4-cineole 2-</w:t>
      </w:r>
      <w:proofErr w:type="spellStart"/>
      <w:r>
        <w:t>exo</w:t>
      </w:r>
      <w:proofErr w:type="spellEnd"/>
      <w:r>
        <w:t>-monooxygenase (</w:t>
      </w:r>
      <w:proofErr w:type="spellStart"/>
      <w:r>
        <w:t>PubMed11695850</w:t>
      </w:r>
      <w:proofErr w:type="spellEnd"/>
      <w:r>
        <w:t>). {</w:t>
      </w:r>
      <w:proofErr w:type="spellStart"/>
      <w:r>
        <w:t>ECO0000269|PubMed11695850</w:t>
      </w:r>
      <w:proofErr w:type="spellEnd"/>
      <w:r>
        <w:t xml:space="preserve">, </w:t>
      </w:r>
      <w:proofErr w:type="spellStart"/>
      <w:r>
        <w:t>ECO0000269|PubMed12865317</w:t>
      </w:r>
      <w:proofErr w:type="spellEnd"/>
      <w:r>
        <w:t xml:space="preserve">, </w:t>
      </w:r>
      <w:proofErr w:type="spellStart"/>
      <w:r>
        <w:t>ECO0000269|PubMed21289075</w:t>
      </w:r>
      <w:proofErr w:type="spellEnd"/>
      <w:r>
        <w:t xml:space="preserve">, </w:t>
      </w:r>
      <w:proofErr w:type="spellStart"/>
      <w:r>
        <w:t>ECO0000269|PubMed22909231</w:t>
      </w:r>
      <w:proofErr w:type="spellEnd"/>
      <w:r>
        <w:t xml:space="preserve">}.; FUNCTION Allele </w:t>
      </w:r>
      <w:proofErr w:type="spellStart"/>
      <w:r>
        <w:t>2B6</w:t>
      </w:r>
      <w:proofErr w:type="spellEnd"/>
      <w:r>
        <w:t xml:space="preserve">*9 Has low affinity for anandamide and can only produce 11,12 </w:t>
      </w:r>
      <w:proofErr w:type="spellStart"/>
      <w:r>
        <w:t>EpETrE</w:t>
      </w:r>
      <w:proofErr w:type="spellEnd"/>
      <w:r>
        <w:t>-EAs. {</w:t>
      </w:r>
      <w:proofErr w:type="spellStart"/>
      <w:r>
        <w:t>ECO0000269|PubMed21289075</w:t>
      </w:r>
      <w:proofErr w:type="spellEnd"/>
      <w:r>
        <w:t>}.</w:t>
      </w:r>
    </w:p>
    <w:p w14:paraId="0F2CB7DB" w14:textId="77777777" w:rsidR="00482564" w:rsidRDefault="00482564" w:rsidP="00482564">
      <w:pPr>
        <w:pStyle w:val="bmdsTblFootnote"/>
      </w:pPr>
      <w:r>
        <w:rPr>
          <w:b/>
        </w:rPr>
        <w:t>LOC108348266:</w:t>
      </w:r>
      <w:r>
        <w:rPr>
          <w:i/>
        </w:rPr>
        <w:t xml:space="preserve"> Human </w:t>
      </w:r>
      <w:proofErr w:type="spellStart"/>
      <w:r>
        <w:rPr>
          <w:i/>
        </w:rPr>
        <w:t>Uniprot</w:t>
      </w:r>
      <w:proofErr w:type="spellEnd"/>
      <w:r>
        <w:rPr>
          <w:i/>
        </w:rPr>
        <w:t xml:space="preserve"> function (Human CYP2B6):</w:t>
      </w:r>
      <w:r>
        <w:t xml:space="preserve"> A cytochrome </w:t>
      </w:r>
      <w:proofErr w:type="spellStart"/>
      <w:r>
        <w:t>P450</w:t>
      </w:r>
      <w:proofErr w:type="spellEnd"/>
      <w:r>
        <w:t xml:space="preserve"> monooxygenase involved in the metabolism of endocannabinoids and steroids (</w:t>
      </w:r>
      <w:proofErr w:type="spellStart"/>
      <w:r>
        <w:t>PubMed21289075</w:t>
      </w:r>
      <w:proofErr w:type="spellEnd"/>
      <w:r>
        <w:t xml:space="preserve">, </w:t>
      </w:r>
      <w:proofErr w:type="spellStart"/>
      <w:r>
        <w:t>PubMed12865317</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(NADPH--hemoprotein reductase). Catalyzes the epoxidation of double bonds of arachidonoylethanolamide (anandamide) to 8,9-, 11,12-, and 14,15-</w:t>
      </w:r>
      <w:proofErr w:type="spellStart"/>
      <w:r>
        <w:t>epoxyeicosatrienoic</w:t>
      </w:r>
      <w:proofErr w:type="spellEnd"/>
      <w:r>
        <w:t xml:space="preserve"> acid </w:t>
      </w:r>
      <w:proofErr w:type="spellStart"/>
      <w:r>
        <w:t>ethanolamides</w:t>
      </w:r>
      <w:proofErr w:type="spellEnd"/>
      <w:r>
        <w:t xml:space="preserve"> (</w:t>
      </w:r>
      <w:proofErr w:type="spellStart"/>
      <w:r>
        <w:t>EpETrE</w:t>
      </w:r>
      <w:proofErr w:type="spellEnd"/>
      <w:r>
        <w:t>-EAs), potentially modulating endocannabinoid system signaling (</w:t>
      </w:r>
      <w:proofErr w:type="spellStart"/>
      <w:r>
        <w:t>PubMed21289075</w:t>
      </w:r>
      <w:proofErr w:type="spellEnd"/>
      <w:r>
        <w:t>). Hydroxylates steroid hormones, including testosterone at C-16 and estrogens at C-2 (</w:t>
      </w:r>
      <w:proofErr w:type="spellStart"/>
      <w:r>
        <w:t>PubMed21289075</w:t>
      </w:r>
      <w:proofErr w:type="spellEnd"/>
      <w:r>
        <w:t xml:space="preserve">, </w:t>
      </w:r>
      <w:proofErr w:type="spellStart"/>
      <w:r>
        <w:t>PubMed12865317</w:t>
      </w:r>
      <w:proofErr w:type="spellEnd"/>
      <w:r>
        <w:t>). Plays a role in the oxidative metabolism of xenobiotics, including plant lipids and drugs (</w:t>
      </w:r>
      <w:proofErr w:type="spellStart"/>
      <w:r>
        <w:t>PubMed11695850</w:t>
      </w:r>
      <w:proofErr w:type="spellEnd"/>
      <w:r>
        <w:t xml:space="preserve">, </w:t>
      </w:r>
      <w:proofErr w:type="spellStart"/>
      <w:r>
        <w:t>PubMed22909231</w:t>
      </w:r>
      <w:proofErr w:type="spellEnd"/>
      <w:r>
        <w:t>). Acts as a 1,4-cineole 2-</w:t>
      </w:r>
      <w:proofErr w:type="spellStart"/>
      <w:r>
        <w:t>exo</w:t>
      </w:r>
      <w:proofErr w:type="spellEnd"/>
      <w:r>
        <w:t>-monooxygenase (</w:t>
      </w:r>
      <w:proofErr w:type="spellStart"/>
      <w:r>
        <w:t>PubMed11695850</w:t>
      </w:r>
      <w:proofErr w:type="spellEnd"/>
      <w:r>
        <w:t>). CP2B6_</w:t>
      </w:r>
      <w:proofErr w:type="gramStart"/>
      <w:r>
        <w:t>HUMAN,P</w:t>
      </w:r>
      <w:proofErr w:type="gramEnd"/>
      <w:r>
        <w:t>20813</w:t>
      </w:r>
    </w:p>
    <w:p w14:paraId="4195FC4A" w14:textId="77777777" w:rsidR="00482564" w:rsidRDefault="00482564" w:rsidP="00482564">
      <w:pPr>
        <w:pStyle w:val="bmdsTblFootnote"/>
      </w:pPr>
      <w:proofErr w:type="spellStart"/>
      <w:r>
        <w:rPr>
          <w:b/>
        </w:rPr>
        <w:t>Cyp2c6v1</w:t>
      </w:r>
      <w:proofErr w:type="spellEnd"/>
      <w:r>
        <w:rPr>
          <w:b/>
        </w:rPr>
        <w:t>:</w:t>
      </w:r>
      <w:r>
        <w:rPr>
          <w:i/>
        </w:rPr>
        <w:t xml:space="preserve"> Human </w:t>
      </w:r>
      <w:proofErr w:type="spellStart"/>
      <w:r>
        <w:rPr>
          <w:i/>
        </w:rPr>
        <w:t>Uniprot</w:t>
      </w:r>
      <w:proofErr w:type="spellEnd"/>
      <w:r>
        <w:rPr>
          <w:i/>
        </w:rPr>
        <w:t xml:space="preserve"> function (Human CYP2C19):</w:t>
      </w:r>
      <w:r>
        <w:t xml:space="preserve"> A cytochrome </w:t>
      </w:r>
      <w:proofErr w:type="spellStart"/>
      <w:r>
        <w:t>P450</w:t>
      </w:r>
      <w:proofErr w:type="spellEnd"/>
      <w:r>
        <w:t xml:space="preserve"> monooxygenase involved in the metabolism of polyunsaturated fatty acids (PUFA) (</w:t>
      </w:r>
      <w:proofErr w:type="spellStart"/>
      <w:r>
        <w:t>PubMed18577768</w:t>
      </w:r>
      <w:proofErr w:type="spellEnd"/>
      <w:r>
        <w:t xml:space="preserve">, </w:t>
      </w:r>
      <w:proofErr w:type="spellStart"/>
      <w:r>
        <w:t>PubMed19965576</w:t>
      </w:r>
      <w:proofErr w:type="spellEnd"/>
      <w:r>
        <w:t xml:space="preserve">, </w:t>
      </w:r>
      <w:proofErr w:type="spellStart"/>
      <w:r>
        <w:t>PubMed20972997</w:t>
      </w:r>
      <w:proofErr w:type="spellEnd"/>
      <w:r>
        <w:t xml:space="preserv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(NADPH--hemoprotein reductase) (</w:t>
      </w:r>
      <w:proofErr w:type="spellStart"/>
      <w:r>
        <w:t>PubMed18577768</w:t>
      </w:r>
      <w:proofErr w:type="spellEnd"/>
      <w:r>
        <w:t xml:space="preserve">, </w:t>
      </w:r>
      <w:proofErr w:type="spellStart"/>
      <w:r>
        <w:t>PubMed19965576</w:t>
      </w:r>
      <w:proofErr w:type="spellEnd"/>
      <w:r>
        <w:t xml:space="preserve">, </w:t>
      </w:r>
      <w:proofErr w:type="spellStart"/>
      <w:r>
        <w:t>PubMed20972997</w:t>
      </w:r>
      <w:proofErr w:type="spellEnd"/>
      <w:r>
        <w:t>). Catalyzes the hydroxylation of carbon-hydrogen bonds. Hydroxylates PUFA specifically at the omega-1 position (</w:t>
      </w:r>
      <w:proofErr w:type="spellStart"/>
      <w:r>
        <w:t>PubMed18577768</w:t>
      </w:r>
      <w:proofErr w:type="spellEnd"/>
      <w:r>
        <w:t>). Catalyzes the epoxidation of double bonds of PUFA (</w:t>
      </w:r>
      <w:proofErr w:type="spellStart"/>
      <w:r>
        <w:t>PubMed20972997</w:t>
      </w:r>
      <w:proofErr w:type="spellEnd"/>
      <w:r>
        <w:t xml:space="preserve">, </w:t>
      </w:r>
      <w:proofErr w:type="spellStart"/>
      <w:r>
        <w:t>PubMed19965576</w:t>
      </w:r>
      <w:proofErr w:type="spellEnd"/>
      <w:r>
        <w:t xml:space="preserve">). Also metabolizes plant monoterpenes such as limonene. Oxygenates (R)- and (S)-limonene to produce </w:t>
      </w:r>
      <w:proofErr w:type="spellStart"/>
      <w:r>
        <w:t>carveol</w:t>
      </w:r>
      <w:proofErr w:type="spellEnd"/>
      <w:r>
        <w:t xml:space="preserve"> and </w:t>
      </w:r>
      <w:proofErr w:type="spellStart"/>
      <w:r>
        <w:t>perillyl</w:t>
      </w:r>
      <w:proofErr w:type="spellEnd"/>
      <w:r>
        <w:t xml:space="preserve"> alcohol (</w:t>
      </w:r>
      <w:proofErr w:type="spellStart"/>
      <w:r>
        <w:t>PubMed11950794</w:t>
      </w:r>
      <w:proofErr w:type="spellEnd"/>
      <w:r>
        <w:t xml:space="preserve">). Responsible for the metabolism of </w:t>
      </w:r>
      <w:proofErr w:type="gramStart"/>
      <w:r>
        <w:t>a number of</w:t>
      </w:r>
      <w:proofErr w:type="gramEnd"/>
      <w:r>
        <w:t xml:space="preserve"> therapeutic agents such as the anticonvulsant drug S-mephenytoin, omeprazole, proguanil, certain barbiturates, diazepam, propranolol, citalopram and imipramine. Hydroxylates fenbendazole at the 4' position (</w:t>
      </w:r>
      <w:proofErr w:type="spellStart"/>
      <w:r>
        <w:t>PubMed23959307</w:t>
      </w:r>
      <w:proofErr w:type="spellEnd"/>
      <w:r>
        <w:t>). {</w:t>
      </w:r>
      <w:proofErr w:type="spellStart"/>
      <w:r>
        <w:t>ECO0000269|PubMed11950794</w:t>
      </w:r>
      <w:proofErr w:type="spellEnd"/>
      <w:r>
        <w:t xml:space="preserve">, </w:t>
      </w:r>
      <w:proofErr w:type="spellStart"/>
      <w:r>
        <w:t>ECO0000269|PubMed18577768</w:t>
      </w:r>
      <w:proofErr w:type="spellEnd"/>
      <w:r>
        <w:t xml:space="preserve">, </w:t>
      </w:r>
      <w:proofErr w:type="spellStart"/>
      <w:r>
        <w:t>ECO0000269|PubMed19965576</w:t>
      </w:r>
      <w:proofErr w:type="spellEnd"/>
      <w:r>
        <w:t xml:space="preserve">, </w:t>
      </w:r>
      <w:proofErr w:type="spellStart"/>
      <w:r>
        <w:t>ECO0000269|PubMed20972997</w:t>
      </w:r>
      <w:proofErr w:type="spellEnd"/>
      <w:r>
        <w:t xml:space="preserve">, </w:t>
      </w:r>
      <w:proofErr w:type="spellStart"/>
      <w:r>
        <w:t>ECO0000269|PubMed23959307</w:t>
      </w:r>
      <w:proofErr w:type="spellEnd"/>
      <w:r>
        <w:t>}.</w:t>
      </w:r>
    </w:p>
    <w:p w14:paraId="31FC7169" w14:textId="77777777" w:rsidR="00482564" w:rsidRDefault="00482564" w:rsidP="00482564">
      <w:pPr>
        <w:pStyle w:val="bmdsTblFootnote"/>
      </w:pPr>
      <w:r>
        <w:rPr>
          <w:b/>
        </w:rPr>
        <w:t>LOC100911718:</w:t>
      </w:r>
      <w:r>
        <w:rPr>
          <w:i/>
        </w:rPr>
        <w:t xml:space="preserve"> Human </w:t>
      </w:r>
      <w:proofErr w:type="spellStart"/>
      <w:r>
        <w:rPr>
          <w:i/>
        </w:rPr>
        <w:t>Uniprot</w:t>
      </w:r>
      <w:proofErr w:type="spellEnd"/>
      <w:r>
        <w:rPr>
          <w:i/>
        </w:rPr>
        <w:t xml:space="preserve"> function (Human CYP2C18):</w:t>
      </w:r>
      <w:r>
        <w:t xml:space="preserve"> A cytochrome </w:t>
      </w:r>
      <w:proofErr w:type="spellStart"/>
      <w:r>
        <w:t>P450</w:t>
      </w:r>
      <w:proofErr w:type="spellEnd"/>
      <w:r>
        <w:t xml:space="preserve"> monooxygenase involved in retinoid metabolism. Hydroxylates all trans-retinoic acid (</w:t>
      </w:r>
      <w:proofErr w:type="spellStart"/>
      <w:r>
        <w:t>atRA</w:t>
      </w:r>
      <w:proofErr w:type="spellEnd"/>
      <w:r>
        <w:t>) to 4-</w:t>
      </w:r>
      <w:proofErr w:type="spellStart"/>
      <w:r>
        <w:t>hydroxyretinoate</w:t>
      </w:r>
      <w:proofErr w:type="spellEnd"/>
      <w:r>
        <w:t xml:space="preserve"> and may modulate </w:t>
      </w:r>
      <w:proofErr w:type="spellStart"/>
      <w:r>
        <w:t>atRA</w:t>
      </w:r>
      <w:proofErr w:type="spellEnd"/>
      <w:r>
        <w:t xml:space="preserve"> signaling and clearance. Mechanistically, uses molecular oxygen inserting one oxygen atom into a substrate, and reducing the second into a water molecule, with two electrons provided by NADPH via cytochrome </w:t>
      </w:r>
      <w:proofErr w:type="spellStart"/>
      <w:r>
        <w:t>P450</w:t>
      </w:r>
      <w:proofErr w:type="spellEnd"/>
      <w:r>
        <w:t xml:space="preserve"> reductase (CPR; NADPH-ferrihemoprotein reductase). CP2CI_</w:t>
      </w:r>
      <w:proofErr w:type="gramStart"/>
      <w:r>
        <w:t>HUMAN,P</w:t>
      </w:r>
      <w:proofErr w:type="gramEnd"/>
      <w:r>
        <w:t>33260</w:t>
      </w:r>
    </w:p>
    <w:p w14:paraId="3C978A68" w14:textId="77777777" w:rsidR="00482564" w:rsidRDefault="00482564" w:rsidP="00482564">
      <w:pPr>
        <w:pStyle w:val="bmdsTblFootnote"/>
      </w:pPr>
      <w:proofErr w:type="spellStart"/>
      <w:r>
        <w:rPr>
          <w:b/>
        </w:rPr>
        <w:t>Ech1</w:t>
      </w:r>
      <w:proofErr w:type="spellEnd"/>
      <w:r>
        <w:rPr>
          <w:b/>
        </w:rPr>
        <w:t>:</w:t>
      </w:r>
      <w:r>
        <w:rPr>
          <w:i/>
        </w:rPr>
        <w:t xml:space="preserve"> Human </w:t>
      </w:r>
      <w:proofErr w:type="spellStart"/>
      <w:r>
        <w:rPr>
          <w:i/>
        </w:rPr>
        <w:t>Uniprot</w:t>
      </w:r>
      <w:proofErr w:type="spellEnd"/>
      <w:r>
        <w:rPr>
          <w:i/>
        </w:rPr>
        <w:t xml:space="preserve"> function (Human ECH1):</w:t>
      </w:r>
      <w:r>
        <w:t xml:space="preserve"> Isomerization of 3-</w:t>
      </w:r>
      <w:proofErr w:type="spellStart"/>
      <w:r>
        <w:t>trans,5</w:t>
      </w:r>
      <w:proofErr w:type="spellEnd"/>
      <w:r>
        <w:t>-cis-dienoyl-CoA to 2-</w:t>
      </w:r>
      <w:proofErr w:type="spellStart"/>
      <w:r>
        <w:t>trans,4</w:t>
      </w:r>
      <w:proofErr w:type="spellEnd"/>
      <w:r>
        <w:t>-trans-dienoyl-CoA. {</w:t>
      </w:r>
      <w:proofErr w:type="spellStart"/>
      <w:r>
        <w:t>ECO0000250|UniProtKBQ62651</w:t>
      </w:r>
      <w:proofErr w:type="spellEnd"/>
      <w:r>
        <w:t>}.</w:t>
      </w:r>
    </w:p>
    <w:p w14:paraId="256CCE91" w14:textId="77777777" w:rsidR="00C505B6" w:rsidRDefault="00E25E4D"/>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31"/>
    <w:rsid w:val="000962D3"/>
    <w:rsid w:val="0021102E"/>
    <w:rsid w:val="003C7E31"/>
    <w:rsid w:val="00482564"/>
    <w:rsid w:val="00E25E4D"/>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7C54"/>
  <w15:chartTrackingRefBased/>
  <w15:docId w15:val="{F5A9427E-6FBF-452B-8AE7-D8BE66C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64"/>
    <w:pPr>
      <w:spacing w:after="0" w:line="240" w:lineRule="auto"/>
    </w:pPr>
    <w:rPr>
      <w:sz w:val="24"/>
      <w:szCs w:val="24"/>
    </w:rPr>
  </w:style>
  <w:style w:type="paragraph" w:styleId="Heading3">
    <w:name w:val="heading 3"/>
    <w:basedOn w:val="Normal"/>
    <w:next w:val="Normal"/>
    <w:link w:val="Heading3Char"/>
    <w:uiPriority w:val="9"/>
    <w:semiHidden/>
    <w:unhideWhenUsed/>
    <w:qFormat/>
    <w:rsid w:val="00482564"/>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82564"/>
    <w:rPr>
      <w:rFonts w:eastAsiaTheme="majorEastAsia" w:cstheme="majorBidi"/>
      <w:b/>
      <w:color w:val="000000" w:themeColor="text1"/>
      <w:sz w:val="24"/>
      <w:szCs w:val="24"/>
    </w:rPr>
  </w:style>
  <w:style w:type="character" w:styleId="Hyperlink">
    <w:name w:val="Hyperlink"/>
    <w:basedOn w:val="DefaultParagraphFont"/>
    <w:uiPriority w:val="99"/>
    <w:semiHidden/>
    <w:unhideWhenUsed/>
    <w:rsid w:val="00482564"/>
    <w:rPr>
      <w:color w:val="0563C1"/>
      <w:u w:val="single"/>
    </w:rPr>
  </w:style>
  <w:style w:type="paragraph" w:customStyle="1" w:styleId="bmdsTblBody">
    <w:name w:val="bmdsTblBody"/>
    <w:basedOn w:val="Normal"/>
    <w:qFormat/>
    <w:rsid w:val="00482564"/>
    <w:rPr>
      <w:rFonts w:ascii="Times New Roman" w:hAnsi="Times New Roman"/>
      <w:sz w:val="18"/>
    </w:rPr>
  </w:style>
  <w:style w:type="paragraph" w:customStyle="1" w:styleId="bmdsTblFootnote">
    <w:name w:val="bmdsTblFootnote"/>
    <w:basedOn w:val="bmdsTblBody"/>
    <w:qFormat/>
    <w:rsid w:val="00482564"/>
  </w:style>
  <w:style w:type="paragraph" w:customStyle="1" w:styleId="bmdsTblHeader">
    <w:name w:val="bmdsTblHeader"/>
    <w:basedOn w:val="bmdsTblBody"/>
    <w:qFormat/>
    <w:rsid w:val="004825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g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rot.org/uniprot/" TargetMode="External"/><Relationship Id="rId5" Type="http://schemas.openxmlformats.org/officeDocument/2006/relationships/hyperlink" Target="https://www.ncbi.nlm.nih.gov/gene/" TargetMode="External"/><Relationship Id="rId4" Type="http://schemas.openxmlformats.org/officeDocument/2006/relationships/hyperlink" Target="https://www.uniprot.org/unipr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2725</Words>
  <Characters>15533</Characters>
  <Application>Microsoft Office Word</Application>
  <DocSecurity>0</DocSecurity>
  <Lines>129</Lines>
  <Paragraphs>36</Paragraphs>
  <ScaleCrop>false</ScaleCrop>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2021-05-26T05:50:00Z</dcterms:created>
  <dcterms:modified xsi:type="dcterms:W3CDTF">2021-07-27T00:03:00Z</dcterms:modified>
</cp:coreProperties>
</file>