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BTG Anti-Proliferation Factor 3, ANA, BTG Family Member 3, ANA/BTG3, Tob55, APRO4, Abundant In Neuroepithelium Area Protein, Protein BTG3, Protein Tob5, TOB5, B-Cell Translocation Gene 3, BTG Family Member 3, TOFA [</w:t>
      </w:r>
      <w:hyperlink r:id="rId20">
        <w:r>
          <w:rPr>
            <w:rStyle w:val="Hyperlink"/>
          </w:rPr>
          <w:t xml:space="preserve">https://www.genecards.org/Search/Keyword?queryString=Btg3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BTG3 mRNA expression is down-regulated in hepatocellular carcinoma (HCC) tissues. Gene silencing through promoter hypermethylation is associated with enhanced proliferation and invasion in HCC [PMID: 24147003].</w:t>
      </w:r>
    </w:p>
    <w:p>
      <w:pPr>
        <w:numPr>
          <w:ilvl w:val="0"/>
          <w:numId w:val="1002"/>
        </w:numPr>
        <w:pStyle w:val="Compact"/>
      </w:pPr>
      <w:r>
        <w:t xml:space="preserve">BTG3 mRNA expression was downregulated in liver tissues of hepatocellular carcinoma and negatively correlated with elevated miR-519c-3p levels [PMID: 31387005].</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Q14201</w:t>
      </w:r>
    </w:p>
    <w:p>
      <w:pPr>
        <w:numPr>
          <w:ilvl w:val="0"/>
          <w:numId w:val="1003"/>
        </w:numPr>
        <w:pStyle w:val="Compact"/>
      </w:pPr>
      <w:r>
        <w:t xml:space="preserve">Size: 252 amino acids</w:t>
      </w:r>
    </w:p>
    <w:p>
      <w:pPr>
        <w:numPr>
          <w:ilvl w:val="0"/>
          <w:numId w:val="1003"/>
        </w:numPr>
        <w:pStyle w:val="Compact"/>
      </w:pPr>
      <w:r>
        <w:t xml:space="preserve">Molecular mass: 29116 Da</w:t>
      </w:r>
    </w:p>
    <w:p>
      <w:pPr>
        <w:numPr>
          <w:ilvl w:val="0"/>
          <w:numId w:val="1003"/>
        </w:numPr>
        <w:pStyle w:val="Compact"/>
      </w:pPr>
      <w:r>
        <w:t xml:space="preserve">Domains: Anti_prolifrtn, BTG, BTG-like_sf</w:t>
      </w:r>
    </w:p>
    <w:p>
      <w:pPr>
        <w:numPr>
          <w:ilvl w:val="0"/>
          <w:numId w:val="1003"/>
        </w:numPr>
        <w:pStyle w:val="Compact"/>
      </w:pPr>
      <w:r>
        <w:t xml:space="preserve">Family: Belongs to the BTG family</w:t>
      </w:r>
    </w:p>
    <w:p>
      <w:pPr>
        <w:numPr>
          <w:ilvl w:val="0"/>
          <w:numId w:val="1003"/>
        </w:numPr>
        <w:pStyle w:val="Compact"/>
      </w:pPr>
      <w:r>
        <w:t xml:space="preserve">Besides BTG1, PC3/TIS21/BTG2, and Tob, ANA is a fourth member of the Tob/BTG1 family that might play roles in neurogenesis in the central nervous system. Overexpression of ANA impaired serum-induced cell cycle progression from the G0/G1 to S phase [PMID: 9632145]. This family is mainly characterized by the presence of two conserved domains (BTG boxes A and B) and involved in the negative control of the cell cycle [PMID: 9067576].</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CNOT7</w:t>
      </w:r>
      <w:r>
        <w:t xml:space="preserve"> </w:t>
      </w:r>
      <w:r>
        <w:t xml:space="preserve">CCR4-NOT transcription complex subunit 7; Has 3’-5’ poly(A) exoribonuclease activity for synthetic poly(A) RNA substrate. Its function seems to be partially redundant with that of CNOT8.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[PMID: 11429045, PMID: 26186194, PMID: 28514442]</w:t>
      </w:r>
    </w:p>
    <w:p>
      <w:pPr>
        <w:numPr>
          <w:ilvl w:val="0"/>
          <w:numId w:val="1004"/>
        </w:numPr>
        <w:pStyle w:val="Compact"/>
      </w:pPr>
      <w:r>
        <w:rPr>
          <w:bCs/>
          <w:b/>
        </w:rPr>
        <w:t xml:space="preserve">CHEK1</w:t>
      </w:r>
      <w:r>
        <w:t xml:space="preserve"> </w:t>
      </w:r>
      <w:r>
        <w:t xml:space="preserve">Serine/threonine-protein kinase Chk1; Serine/threonine-protein kinase which is required for checkpoint-mediated cell cycle arrest and activation of DNA repair in response to the presence of DNA damage or unreplicated DNA. May also negatively regulate cell cycle progression during unperturbed cell cycles. This regulation is achieved by a number of mechanisms that together help to preserve the integrity of the genome. Recognizes the substrate consensus sequence [R-X-X-S/T]. Binds to and phosphorylates CDC25A, CDC25B and CDC25C. [PMID: 23533280, PMID: 29735693]</w:t>
      </w:r>
    </w:p>
    <w:p>
      <w:pPr>
        <w:numPr>
          <w:ilvl w:val="0"/>
          <w:numId w:val="1004"/>
        </w:numPr>
        <w:pStyle w:val="Compact"/>
      </w:pPr>
      <w:r>
        <w:rPr>
          <w:bCs/>
          <w:b/>
        </w:rPr>
        <w:t xml:space="preserve">ATXN1</w:t>
      </w:r>
      <w:r>
        <w:t xml:space="preserve"> </w:t>
      </w:r>
      <w:r>
        <w:t xml:space="preserve">Ataxin-1; Chromatin-binding factor that repress Notch signaling in the absence of Notch intracellular domain by acting as a CBF1 corepressor. Binds to the HEY promoter and might assist, along with NCOR2, RBPJ- mediated repression. Binds RNA in vitro. May be involved in RNA metabolism. In concert with CIC and ATXN1L, involved in brain development (By similarity). [PMID: 16713569]</w:t>
      </w:r>
    </w:p>
    <w:p>
      <w:pPr>
        <w:numPr>
          <w:ilvl w:val="0"/>
          <w:numId w:val="1004"/>
        </w:numPr>
        <w:pStyle w:val="Compact"/>
      </w:pPr>
      <w:r>
        <w:rPr>
          <w:bCs/>
          <w:b/>
        </w:rPr>
        <w:t xml:space="preserve">BANP</w:t>
      </w:r>
      <w:r>
        <w:t xml:space="preserve"> </w:t>
      </w:r>
      <w:r>
        <w:t xml:space="preserve">Protein BANP; Controls V(D)J recombination during T-cell development by repressing T-cell receptor (TCR) beta enhancer function. Binds to scaffold/matrix attachment region beta (S/MARbeta), an ATC-rich DNA sequence located upstream of the TCR beta enhancer. Represses cyclin D1 transcription by recruiting HDAC1 to its promoter, thereby diminishing H3K9ac, H3S10ph and H4K8ac levels. Promotes TP53</w:t>
      </w:r>
      <w:r>
        <w:t xml:space="preserve"> </w:t>
      </w:r>
      <w:r>
        <w:t xml:space="preserve">‘</w:t>
      </w:r>
      <w:r>
        <w:t xml:space="preserve">Ser-15</w:t>
      </w:r>
      <w:r>
        <w:t xml:space="preserve">’</w:t>
      </w:r>
      <w:r>
        <w:t xml:space="preserve"> </w:t>
      </w:r>
      <w:r>
        <w:t xml:space="preserve">phosphorylation and nuclear accumulation, which causes cell cycle arrest (By similarity); Belongs to the BANP/SMAR1 family. [PMID: 10940556]</w:t>
      </w:r>
    </w:p>
    <w:p>
      <w:pPr>
        <w:numPr>
          <w:ilvl w:val="0"/>
          <w:numId w:val="1004"/>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28514442]</w:t>
      </w:r>
    </w:p>
    <w:p>
      <w:pPr>
        <w:numPr>
          <w:ilvl w:val="0"/>
          <w:numId w:val="1004"/>
        </w:numPr>
        <w:pStyle w:val="Compact"/>
      </w:pPr>
      <w:r>
        <w:rPr>
          <w:bCs/>
          <w:b/>
        </w:rPr>
        <w:t xml:space="preserve">CACNA1A</w:t>
      </w:r>
      <w:r>
        <w:t xml:space="preserve"> </w:t>
      </w:r>
      <w:r>
        <w:t xml:space="preserve">Voltage-dependent P/Q-type calcium channel subunit alpha-1A; Voltage-sensitive calcium channels (VSCC) mediate the entry of calcium ions into excitable cells and are also involved in a variety of calcium-dependent processes, including muscle contraction, hormone or neurotransmitter release, gene expression, cell motility, cell division and cell death. The isoform alpha-1A gives rise to P and/or Q- type calcium currents. P/Q-type calcium channels belong to the</w:t>
      </w:r>
      <w:r>
        <w:t xml:space="preserve"> </w:t>
      </w:r>
      <w:r>
        <w:t xml:space="preserve">‘</w:t>
      </w:r>
      <w:r>
        <w:t xml:space="preserve">high- voltage activated</w:t>
      </w:r>
      <w:r>
        <w:t xml:space="preserve">’</w:t>
      </w:r>
      <w:r>
        <w:t xml:space="preserve"> </w:t>
      </w:r>
      <w:r>
        <w:t xml:space="preserve">(HVA) group and are specifically blocked by the spider omega-agatoxin-IVA (AC P54282) (By similarity). [PMID: 21078624]</w:t>
      </w:r>
    </w:p>
    <w:p>
      <w:pPr>
        <w:numPr>
          <w:ilvl w:val="0"/>
          <w:numId w:val="1004"/>
        </w:numPr>
        <w:pStyle w:val="Compact"/>
      </w:pPr>
      <w:r>
        <w:rPr>
          <w:bCs/>
          <w:b/>
        </w:rPr>
        <w:t xml:space="preserve">CNOT1</w:t>
      </w:r>
      <w:r>
        <w:t xml:space="preserve"> </w:t>
      </w:r>
      <w:r>
        <w:t xml:space="preserve">CCR4-NOT transcription complex subunit 1; Scaffolding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26496610]</w:t>
      </w:r>
    </w:p>
    <w:p>
      <w:pPr>
        <w:numPr>
          <w:ilvl w:val="0"/>
          <w:numId w:val="1004"/>
        </w:numPr>
        <w:pStyle w:val="Compact"/>
      </w:pPr>
      <w:r>
        <w:rPr>
          <w:bCs/>
          <w:b/>
        </w:rPr>
        <w:t xml:space="preserve">CNOT11</w:t>
      </w:r>
      <w:r>
        <w:t xml:space="preserve"> </w:t>
      </w:r>
      <w:r>
        <w:t xml:space="preserve">CCR4-NOT transcription complex subunit 11;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Is required for the association of CNOT10 with the CCR4-NOT complex. Seems not to be required for complex deadenylase function; Belongs to the CNOT11 family. [PMID: 28514442]</w:t>
      </w:r>
    </w:p>
    <w:p>
      <w:pPr>
        <w:numPr>
          <w:ilvl w:val="0"/>
          <w:numId w:val="1004"/>
        </w:numPr>
        <w:pStyle w:val="Compact"/>
      </w:pPr>
      <w:r>
        <w:rPr>
          <w:bCs/>
          <w:b/>
        </w:rPr>
        <w:t xml:space="preserve">CNOT6L</w:t>
      </w:r>
      <w:r>
        <w:t xml:space="preserve"> </w:t>
      </w:r>
      <w:r>
        <w:t xml:space="preserve">CCR4-NOT transcription complex subunit 6-like; Has 3’-5’ poly(A) exoribonuclease activity for synthetic poly(A) RNA substrate. Catalytic component of the CCR4-NOT complex which is one of the major cellular mRNA deadenylases and is linked to various cellular processes including bulk mRNA degradation, miRNA- mediated repression, translational repression during translational initiation and general transcription regulation. Additional complex functions may be a consequence of its influence on mRNA expression. [PMID: 29395067]</w:t>
      </w:r>
    </w:p>
    <w:p>
      <w:pPr>
        <w:numPr>
          <w:ilvl w:val="0"/>
          <w:numId w:val="1004"/>
        </w:numPr>
        <w:pStyle w:val="Compact"/>
      </w:pPr>
      <w:r>
        <w:rPr>
          <w:bCs/>
          <w:b/>
        </w:rPr>
        <w:t xml:space="preserve">CUL2</w:t>
      </w:r>
      <w:r>
        <w:t xml:space="preserve"> </w:t>
      </w:r>
      <w:r>
        <w:t xml:space="preserve">Cullin-2; Core component of multiple cullin-RING-based ECS (ElonginB/C- CUL2/5-SOCS-box protein) E3 ubiquitin-protein ligase complexes, which mediate the ubiquitination of target proteins. ECS complexes and ARIH1 collaborate in tandem to mediate ubiquitination of target proteins. May serve as a rigid scaffold in the complex and may contribute to catalysis through positioning of the substrate and the ubiquitin-conjugating enzyme. [PMID: 21145461]</w:t>
      </w:r>
    </w:p>
    <w:p>
      <w:pPr>
        <w:numPr>
          <w:ilvl w:val="0"/>
          <w:numId w:val="1004"/>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17690688]</w:t>
      </w:r>
    </w:p>
    <w:p>
      <w:pPr>
        <w:numPr>
          <w:ilvl w:val="0"/>
          <w:numId w:val="1004"/>
        </w:numPr>
        <w:pStyle w:val="Compact"/>
      </w:pPr>
      <w:r>
        <w:rPr>
          <w:bCs/>
          <w:b/>
        </w:rPr>
        <w:t xml:space="preserve">NANOS2</w:t>
      </w:r>
      <w:r>
        <w:t xml:space="preserve"> </w:t>
      </w:r>
      <w:r>
        <w:t xml:space="preserve">Nanos homolog 2; Plays a key role in the sexual differentiation of germ cells by promoting the male fate but suppressing the female fate. Represses the female fate pathways by suppressing meiosis, which in turn results in the promotion of the male fate. Maintains the suppression of meiosis by preventing STRA8 expression, which is required for premeiotic DNA replication, after CYP26B1 is decreased. Regulates the localization of the CCR4-NOT deadenylation complex to P-bodies and plays a role in recruiting the complex to trigger the degradation of mRNAs involved in meiosis. [PMID: 28514442]</w:t>
      </w:r>
    </w:p>
    <w:p>
      <w:pPr>
        <w:numPr>
          <w:ilvl w:val="0"/>
          <w:numId w:val="1004"/>
        </w:numPr>
        <w:pStyle w:val="Compact"/>
      </w:pPr>
      <w:r>
        <w:rPr>
          <w:bCs/>
          <w:b/>
        </w:rPr>
        <w:t xml:space="preserve">RIBC1</w:t>
      </w:r>
      <w:r>
        <w:t xml:space="preserve"> </w:t>
      </w:r>
      <w:r>
        <w:t xml:space="preserve">RIB43A domain with coiled-coils 1; Belongs to the RIB43A family. [PMID: 28514442]</w:t>
      </w:r>
    </w:p>
    <w:p>
      <w:pPr>
        <w:numPr>
          <w:ilvl w:val="0"/>
          <w:numId w:val="1004"/>
        </w:numPr>
        <w:pStyle w:val="Compact"/>
      </w:pPr>
      <w:r>
        <w:rPr>
          <w:bCs/>
          <w:b/>
        </w:rPr>
        <w:t xml:space="preserve">TEX13A</w:t>
      </w:r>
      <w:r>
        <w:t xml:space="preserve"> </w:t>
      </w:r>
      <w:r>
        <w:t xml:space="preserve">Testis-expressed protein 13A; Testis expressed 13A; Belongs to the TEX13 family. [PMID: 28514442]</w:t>
      </w:r>
    </w:p>
    <w:p>
      <w:pPr>
        <w:numPr>
          <w:ilvl w:val="0"/>
          <w:numId w:val="1004"/>
        </w:numPr>
        <w:pStyle w:val="Compact"/>
      </w:pPr>
      <w:r>
        <w:rPr>
          <w:bCs/>
          <w:b/>
        </w:rPr>
        <w:t xml:space="preserve">TNRC6A</w:t>
      </w:r>
      <w:r>
        <w:t xml:space="preserve"> </w:t>
      </w:r>
      <w:r>
        <w:t xml:space="preserve">Trinucleotide repeat-containing gene 6A protein; Plays a role in RNA-mediated gene silencing by both micro- RNAs (miRNAs) and short interfering RNAs (siRNAs). Required for miRNA- dependent repression of translation and for siRNA-dependent endonucleolytic cleavage of complementary mRNAs by argonaute family proteins. As a scaffolding protein, associates with argonaute proteins bound to partially complementary mRNAs, and can simultaneously recruit CCR4-NOT and PAN deadenylase complexes. [PMID: 29395067]</w:t>
      </w:r>
    </w:p>
    <w:p>
      <w:pPr>
        <w:numPr>
          <w:ilvl w:val="0"/>
          <w:numId w:val="1004"/>
        </w:numPr>
        <w:pStyle w:val="Compact"/>
      </w:pPr>
      <w:r>
        <w:rPr>
          <w:bCs/>
          <w:b/>
        </w:rPr>
        <w:t xml:space="preserve">TNRC6B</w:t>
      </w:r>
      <w:r>
        <w:t xml:space="preserve"> </w:t>
      </w:r>
      <w:r>
        <w:t xml:space="preserve">Trinucleotide repeat-containing gene 6B protein; Plays a role in RNA-mediated gene silencing by both micro- RNAs (miRNAs) and short interfering RNAs (siRNAs). Required for miRNA- dependent translational repression and siRNA-dependent endonucleolytic cleavage of complementary mRNAs by argonaute family proteins. As scaffoldng protein associates with argonaute proteins bound to partially complementary mRNAs and simultaneously can recruit CCR4-NOT and PAN deadenylase complexes. [PMID: 29395067]</w:t>
      </w:r>
    </w:p>
    <w:bookmarkEnd w:id="24"/>
    <w:bookmarkEnd w:id="25"/>
    <w:bookmarkStart w:id="3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https://www.genecards.org/cgi-bin/carddisp.pl?gene=BTG3</w:t>
        </w:r>
      </w:hyperlink>
    </w:p>
    <w:p>
      <w:pPr>
        <w:numPr>
          <w:ilvl w:val="0"/>
          <w:numId w:val="1005"/>
        </w:numPr>
        <w:pStyle w:val="Compact"/>
      </w:pPr>
      <w:r>
        <w:t xml:space="preserve">Harmonizome (human):</w:t>
      </w:r>
      <w:r>
        <w:t xml:space="preserve"> </w:t>
      </w:r>
      <w:hyperlink r:id="rId27">
        <w:r>
          <w:rPr>
            <w:rStyle w:val="Hyperlink"/>
          </w:rPr>
          <w:t xml:space="preserve">https://maayanlab.cloud/Harmonizome/gene/BTG3</w:t>
        </w:r>
      </w:hyperlink>
    </w:p>
    <w:p>
      <w:pPr>
        <w:numPr>
          <w:ilvl w:val="0"/>
          <w:numId w:val="1005"/>
        </w:numPr>
        <w:pStyle w:val="Compact"/>
      </w:pPr>
      <w:r>
        <w:t xml:space="preserve">NCBI (human):</w:t>
      </w:r>
      <w:r>
        <w:t xml:space="preserve"> </w:t>
      </w:r>
      <w:hyperlink r:id="rId28">
        <w:r>
          <w:rPr>
            <w:rStyle w:val="Hyperlink"/>
          </w:rPr>
          <w:t xml:space="preserve">https://www.ncbi.nlm.nih.gov/gene/10950</w:t>
        </w:r>
      </w:hyperlink>
    </w:p>
    <w:p>
      <w:pPr>
        <w:numPr>
          <w:ilvl w:val="0"/>
          <w:numId w:val="1005"/>
        </w:numPr>
        <w:pStyle w:val="Compact"/>
      </w:pPr>
      <w:r>
        <w:t xml:space="preserve">NCBI (rat):</w:t>
      </w:r>
      <w:r>
        <w:t xml:space="preserve"> </w:t>
      </w:r>
      <w:hyperlink r:id="rId29">
        <w:r>
          <w:rPr>
            <w:rStyle w:val="Hyperlink"/>
          </w:rPr>
          <w:t xml:space="preserve">https://www.ncbi.nlm.nih.gov/gene/54230</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https://useast.ensembl.org/Homo_sapiens/Gene/Summary?g=ENSG00000154640</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https://useast.ensembl.org/Rattus_norvegicus/Gene/Summary?g=ENSRNOG00000001555</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https://rgd.mcw.edu/rgdweb/report/gene/main.html?id=2226</w:t>
        </w:r>
      </w:hyperlink>
    </w:p>
    <w:p>
      <w:pPr>
        <w:numPr>
          <w:ilvl w:val="0"/>
          <w:numId w:val="1005"/>
        </w:numPr>
        <w:pStyle w:val="Compact"/>
      </w:pPr>
      <w:r>
        <w:t xml:space="preserve">Uniprot (human):</w:t>
      </w:r>
      <w:r>
        <w:t xml:space="preserve"> </w:t>
      </w:r>
      <w:hyperlink r:id="rId33">
        <w:r>
          <w:rPr>
            <w:rStyle w:val="Hyperlink"/>
          </w:rPr>
          <w:t xml:space="preserve">https://www.uniprot.org/uniprotkb/Q14201</w:t>
        </w:r>
      </w:hyperlink>
    </w:p>
    <w:p>
      <w:pPr>
        <w:numPr>
          <w:ilvl w:val="0"/>
          <w:numId w:val="1005"/>
        </w:numPr>
        <w:pStyle w:val="Compact"/>
      </w:pPr>
      <w:r>
        <w:t xml:space="preserve">Uniprot (rat):</w:t>
      </w:r>
      <w:r>
        <w:t xml:space="preserve"> </w:t>
      </w:r>
      <w:hyperlink r:id="rId34">
        <w:r>
          <w:rPr>
            <w:rStyle w:val="Hyperlink"/>
          </w:rPr>
          <w:t xml:space="preserve">https://www.uniprot.org/uniprotkb/O88677</w:t>
        </w:r>
      </w:hyperlink>
    </w:p>
    <w:p>
      <w:pPr>
        <w:numPr>
          <w:ilvl w:val="0"/>
          <w:numId w:val="1005"/>
        </w:numPr>
        <w:pStyle w:val="Compact"/>
      </w:pPr>
      <w:r>
        <w:t xml:space="preserve">Wikigenes (human):</w:t>
      </w:r>
      <w:r>
        <w:t xml:space="preserve"> </w:t>
      </w:r>
      <w:hyperlink r:id="rId35">
        <w:r>
          <w:rPr>
            <w:rStyle w:val="Hyperlink"/>
          </w:rPr>
          <w:t xml:space="preserve">https://www.wikigenes.org/e/gene/e/10950.html</w:t>
        </w:r>
      </w:hyperlink>
    </w:p>
    <w:p>
      <w:pPr>
        <w:numPr>
          <w:ilvl w:val="0"/>
          <w:numId w:val="1005"/>
        </w:numPr>
        <w:pStyle w:val="Compact"/>
      </w:pPr>
      <w:r>
        <w:t xml:space="preserve">Wikigenes (rat):</w:t>
      </w:r>
      <w:r>
        <w:t xml:space="preserve"> </w:t>
      </w:r>
      <w:hyperlink r:id="rId36">
        <w:r>
          <w:rPr>
            <w:rStyle w:val="Hyperlink"/>
          </w:rPr>
          <w:t xml:space="preserve">https://www.wikigenes.org/e/gene/e/54230.html</w:t>
        </w:r>
      </w:hyperlink>
    </w:p>
    <w:p>
      <w:pPr>
        <w:numPr>
          <w:ilvl w:val="0"/>
          <w:numId w:val="1005"/>
        </w:numPr>
        <w:pStyle w:val="Compact"/>
      </w:pPr>
      <w:r>
        <w:t xml:space="preserve">Alphafold (human):</w:t>
      </w:r>
      <w:r>
        <w:t xml:space="preserve"> </w:t>
      </w:r>
      <w:hyperlink r:id="rId37">
        <w:r>
          <w:rPr>
            <w:rStyle w:val="Hyperlink"/>
          </w:rPr>
          <w:t xml:space="preserve">https://alphafold.ebi.ac.uk/entry/Q14201</w:t>
        </w:r>
      </w:hyperlink>
    </w:p>
    <w:p>
      <w:pPr>
        <w:numPr>
          <w:ilvl w:val="0"/>
          <w:numId w:val="1005"/>
        </w:numPr>
        <w:pStyle w:val="Compact"/>
      </w:pPr>
      <w:r>
        <w:t xml:space="preserve">Alphafold (rat):</w:t>
      </w:r>
      <w:r>
        <w:t xml:space="preserve"> </w:t>
      </w:r>
      <w:hyperlink r:id="rId38">
        <w:r>
          <w:rPr>
            <w:rStyle w:val="Hyperlink"/>
          </w:rPr>
          <w:t xml:space="preserve">https://alphafold.ebi.ac.uk/entry/O88677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9"/>
    <w:bookmarkStart w:id="62" w:name="X7887dc63a354b4d974b09bbc1761dfdcf7e455e"/>
    <w:p>
      <w:pPr>
        <w:pStyle w:val="Heading1"/>
      </w:pPr>
      <w:r>
        <w:t xml:space="preserve">6. GO Terms, MSigDB Signatures, Pathways Containing Gene with Descriptions of Gene Sets</w:t>
      </w:r>
    </w:p>
    <w:bookmarkStart w:id="43" w:name="pathways"/>
    <w:p>
      <w:pPr>
        <w:pStyle w:val="Heading2"/>
      </w:pPr>
      <w:r>
        <w:t xml:space="preserve">Pathways:</w:t>
      </w:r>
    </w:p>
    <w:p>
      <w:pPr>
        <w:numPr>
          <w:ilvl w:val="0"/>
          <w:numId w:val="1006"/>
        </w:numPr>
        <w:pStyle w:val="Compact"/>
      </w:pPr>
      <w:r>
        <w:rPr>
          <w:bCs/>
          <w:b/>
        </w:rPr>
        <w:t xml:space="preserve">p53-Dependent G1/S DNA damage checkpoint</w:t>
      </w:r>
      <w:r>
        <w:t xml:space="preserve">. The arrest at G1/S checkpoint is mediated by the action of a widely known tumor suppressor protein, p53. Loss of p53 functions, as a result of mutations in cancer prevent the G1/S checkpoint (Kuerbitz et al, 1992). P53 is rapidly induced in response to damaged DNA. A number of kinases, phosphatases, histone acetylases and ubiquitin-conjugating enzymes regulate the stability as well as transcriptional activity of p53 after DNA damage [</w:t>
      </w:r>
      <w:hyperlink r:id="rId40">
        <w:r>
          <w:rPr>
            <w:rStyle w:val="Hyperlink"/>
          </w:rPr>
          <w:t xml:space="preserve">https://reactome.org/PathwayBrowser/#/R-HSA-69580</w:t>
        </w:r>
      </w:hyperlink>
      <w:r>
        <w:t xml:space="preserve">]. BTG3 is a downstream target of the tumor suppressor p53 and plays a role in enforcing cell cycle arrest after DNA damage. Upon genotoxic stress, p53 directly induces BTG3 expression, which in turn binds to and inhibits the transcription factor E2F1 [PMID: 17690688]</w:t>
      </w:r>
    </w:p>
    <w:p>
      <w:pPr>
        <w:numPr>
          <w:ilvl w:val="0"/>
          <w:numId w:val="1006"/>
        </w:numPr>
        <w:pStyle w:val="Compact"/>
      </w:pPr>
      <w:r>
        <w:rPr>
          <w:bCs/>
          <w:b/>
        </w:rPr>
        <w:t xml:space="preserve">Cellular senescence</w:t>
      </w:r>
      <w:r>
        <w:t xml:space="preserve"> </w:t>
      </w:r>
      <w:r>
        <w:t xml:space="preserve">involves irreversible growth arrest accompanied by phenotypic changes such as enlarged morphology, reorganization of chromatin through formation of senescence-associated heterochromatic foci (SAHF), and changes in gene expression that result in secretion of a number of proteins that alter local tissue environment, known as senescence-associated secretory phenotype (SASP). Senescence is considered to be a cancer protective mechanism and is also involved in aging. Senescent cells accumulate in aged tissues (reviewed by Campisi 1997 and Lopez-Otin 2013), which may be due to an increased senescence rate and/or decrease in the rate of clearance of senescent cells. In a mouse model of accelerated aging, clearance of senescent cells delays the onset of age-related phenotypes (Baker et al. 2011). Cellular senescence can be triggered by the aberrant activation of oncogenes or loss-of-function of tumor suppressor genes, and this type of senescence is known as the oncogene-induced senescence, with RAS signaling-induced senescence being the best studied. Oxidative stress, which may or may not be caused by oncogenic RAS signaling, can also trigger senescence. Finally, the cellular senescence program can be initiated by DNA damage, which may be caused by reactive oxygen species (ROS) during oxidative stress, and by telomere shortening caused by replicative exhaustion which may be due to oncogenic signaling. The senescent phenotype was first reported by Hayflick and Moorhead in 1961, when they proposed replicative senescence as a mechanism responsible for the cessation of mitotic activity and morphological changes that occur in human somatic diploid cell strains as a consequence of serial passaging, preventing the continuous culture of untransformed cells-the Hayflick limit (Hayflick and Moorhead 1961) [</w:t>
      </w:r>
      <w:hyperlink r:id="rId41">
        <w:r>
          <w:rPr>
            <w:rStyle w:val="Hyperlink"/>
          </w:rPr>
          <w:t xml:space="preserve">https://reactome.org/PathwayBrowser/#/R-HSA-2559583</w:t>
        </w:r>
      </w:hyperlink>
      <w:r>
        <w:t xml:space="preserve">]. Loss of BTG3 can trigger a cascade leading to cellular senescence. In cells lacking BTG3, sustained ERK (MAPK) activity elevates AP-1 transcription factor activity, which induces the histone demethylase JMJD3 (KDM6B). JMJD3 then de-represses the CDKN2A locus, causing p16</w:t>
      </w:r>
      <w:r>
        <w:t xml:space="preserve">INK4a</w:t>
      </w:r>
      <w:r>
        <w:t xml:space="preserve"> </w:t>
      </w:r>
      <w:r>
        <w:t xml:space="preserve">upregulation and onset of senescence [PMID: 22020331].</w:t>
      </w:r>
    </w:p>
    <w:p>
      <w:pPr>
        <w:numPr>
          <w:ilvl w:val="0"/>
          <w:numId w:val="1006"/>
        </w:numPr>
        <w:pStyle w:val="Compact"/>
      </w:pPr>
      <w:r>
        <w:rPr>
          <w:bCs/>
          <w:b/>
        </w:rPr>
        <w:t xml:space="preserve">Signaling by WNT</w:t>
      </w:r>
      <w:r>
        <w:t xml:space="preserve">. WNT signaling pathways control a wide range of developmental and adult process in metozoans including cell proliferation, cell fate decisions, cell polarity and stem cell maintenance (reviewed in Saito-Diaz et al, 2013; MacDonald et al, 2009). The pathway is named for the WNT ligands, a large family of secreted cysteine-rich glycoproteins. At least 19 WNT members have been identified in humans and mice with distinct expression patterns during development (reviewed in Willert and Nusse, 2012). These ligands can activate at least three different downstream signaling cascades depending on which receptors they engage. In the so-called</w:t>
      </w:r>
      <w:r>
        <w:t xml:space="preserve"> </w:t>
      </w:r>
      <w:r>
        <w:t xml:space="preserve">‘</w:t>
      </w:r>
      <w:r>
        <w:t xml:space="preserve">canonical</w:t>
      </w:r>
      <w:r>
        <w:t xml:space="preserve">’</w:t>
      </w:r>
      <w:r>
        <w:t xml:space="preserve"> </w:t>
      </w:r>
      <w:r>
        <w:t xml:space="preserve">WNT signaling pathway, WNT ligands bind one of the 10 human Frizzled (FZD) receptors in conjunction with the LRP5/6 co-receptors to activate a transcriptional cascade that controls processes such as cell fate, proliferation and self-renenwal of stem cells. Engagement of the FZD-LRP receptor by WNT ligand results in the stabilization and translocation of cytosolic beta-catenin to the nucleus where it is a co-activator for LEF (lymphoid enhancer-binding factor)- and TCF (T cell factor) -dependent transcription. In the absence of WNT ligand, cytosolic beta-catenin is phosphorylated by a degradation complex consisting of glycogen synthase kinase 3 (GSK3), casein kinase 1 (CK1), Axin and Adenomatous polyposis coli (APC), and subsequently ubiquitinated and degraded by the 26S proteasome (reviewed in Saito-Diaz et al, 2013; Kimmelman and Xu, 2006) [</w:t>
      </w:r>
      <w:hyperlink r:id="rId42">
        <w:r>
          <w:rPr>
            <w:rStyle w:val="Hyperlink"/>
          </w:rPr>
          <w:t xml:space="preserve">https://reactome.org/PathwayBrowser/#/R-HSA-195721</w:t>
        </w:r>
      </w:hyperlink>
      <w:r>
        <w:t xml:space="preserve">]. BTG3 acts as a suppressor of Wnt signaling. Loss of BTG3 – for instance by microRNA-mediated targeting – leads to enhanced β-catenin activity, driving EMT, angiogenesis, and metastasis​ [PMID: 37287276].</w:t>
      </w:r>
    </w:p>
    <w:bookmarkEnd w:id="43"/>
    <w:bookmarkStart w:id="44" w:name="go-terms"/>
    <w:p>
      <w:pPr>
        <w:pStyle w:val="Heading2"/>
      </w:pPr>
      <w:r>
        <w:t xml:space="preserve">GO terms:</w:t>
      </w:r>
    </w:p>
    <w:p>
      <w:pPr>
        <w:pStyle w:val="FirstParagraph"/>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mitotic cell cycle</w:t>
      </w:r>
      <w:r>
        <w:t xml:space="preserve"> </w:t>
      </w:r>
      <w:r>
        <w:t xml:space="preserve">[Any process that stops, prevents or reduces the rate or extent of progression through the mitotic cell cycle. GO:0045930]</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bookmarkEnd w:id="44"/>
    <w:bookmarkStart w:id="61"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45">
        <w:r>
          <w:rPr>
            <w:rStyle w:val="Hyperlink"/>
          </w:rPr>
          <w:t xml:space="preserve">[https://www.gsea-msigdb.org/gsea/msigdb/human/geneset/ACEVEDO_LIVER_TUMOR_VS_NORMAL_ADJACENT_TISSUE_UP.html]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46">
        <w:r>
          <w:rPr>
            <w:rStyle w:val="Hyperlink"/>
          </w:rPr>
          <w:t xml:space="preserve">[https://www.gsea-msigdb.org/gsea/msigdb/human/geneset/ACEVEDO_LIVER_CANCER_UP.html]</w:t>
        </w:r>
      </w:hyperlink>
    </w:p>
    <w:p>
      <w:pPr>
        <w:pStyle w:val="BodyText"/>
      </w:pPr>
      <w:r>
        <w:rPr>
          <w:bCs/>
          <w:b/>
        </w:rPr>
        <w:t xml:space="preserve">HOSHIDA_LIVER_CANCER_SUBCLASS_S2</w:t>
      </w:r>
      <w:r>
        <w:t xml:space="preserve">: Genes from</w:t>
      </w:r>
      <w:r>
        <w:t xml:space="preserve"> </w:t>
      </w:r>
      <w:r>
        <w:t xml:space="preserve">‘</w:t>
      </w:r>
      <w:r>
        <w:t xml:space="preserve">subtype S2</w:t>
      </w:r>
      <w:r>
        <w:t xml:space="preserve">’</w:t>
      </w:r>
      <w:r>
        <w:t xml:space="preserve"> </w:t>
      </w:r>
      <w:r>
        <w:t xml:space="preserve">signature of hepatocellular carcinoma (HCC): proliferation, MYC and AKT1 [GeneID=4609;207] activation.</w:t>
      </w:r>
      <w:r>
        <w:t xml:space="preserve"> </w:t>
      </w:r>
      <w:hyperlink r:id="rId47">
        <w:r>
          <w:rPr>
            <w:rStyle w:val="Hyperlink"/>
          </w:rPr>
          <w:t xml:space="preserve">[https://www.gsea-msigdb.org/gsea/msigdb/human/geneset/HOSHIDA_LIVER_CANCER_SUBCLASS_S2.html]</w:t>
        </w:r>
      </w:hyperlink>
    </w:p>
    <w:p>
      <w:pPr>
        <w:pStyle w:val="BodyText"/>
      </w:pPr>
      <w:r>
        <w:rPr>
          <w:bCs/>
          <w:b/>
        </w:rPr>
        <w:t xml:space="preserve">BROWNE_HCMV_INFECTION_16HR_UP</w:t>
      </w:r>
      <w:r>
        <w:t xml:space="preserve">: Genes up-regulated in primary fibroblast cell culture after infection with HCMV (AD169 strain) at 16 h time point that were not up-regulated at the previous time point, 14 h.</w:t>
      </w:r>
      <w:r>
        <w:t xml:space="preserve"> </w:t>
      </w:r>
      <w:hyperlink r:id="rId48">
        <w:r>
          <w:rPr>
            <w:rStyle w:val="Hyperlink"/>
          </w:rPr>
          <w:t xml:space="preserve">[https://www.gsea-msigdb.org/gsea/msigdb/human/geneset/BROWNE_HCMV_INFECTION_16HR_UP.html]</w:t>
        </w:r>
      </w:hyperlink>
    </w:p>
    <w:p>
      <w:pPr>
        <w:pStyle w:val="BodyText"/>
      </w:pPr>
      <w:r>
        <w:rPr>
          <w:bCs/>
          <w:b/>
        </w:rPr>
        <w:t xml:space="preserve">DEBIASI_APOPTOSIS_BY_REOVIRUS_INFECTION_UP</w:t>
      </w:r>
      <w:r>
        <w:t xml:space="preserve">: Genes up-regulated in HEK293 cells (embryonic kidney) at 6 h, 12 h or 24 h after infection with reovirus strain T3A (known as a strong inducer of apoptosis).</w:t>
      </w:r>
      <w:r>
        <w:t xml:space="preserve"> </w:t>
      </w:r>
      <w:hyperlink r:id="rId49">
        <w:r>
          <w:rPr>
            <w:rStyle w:val="Hyperlink"/>
          </w:rPr>
          <w:t xml:space="preserve">[https://www.gsea-msigdb.org/gsea/msigdb/human/geneset/DEBIASI_APOPTOSIS_BY_REOVIRUS_INFECTION_UP.html]</w:t>
        </w:r>
      </w:hyperlink>
    </w:p>
    <w:p>
      <w:pPr>
        <w:pStyle w:val="BodyText"/>
      </w:pPr>
      <w:r>
        <w:rPr>
          <w:bCs/>
          <w:b/>
        </w:rPr>
        <w:t xml:space="preserve">YORDY_RECIPROCAL_REGULATION_BY_ETS1_AND_SP100_DN</w:t>
      </w:r>
      <w:r>
        <w:t xml:space="preserve">: Genes down-regulated in HUVEC cells (endothelium) by ETS1 [GeneID=2113] which were up-regulated by SP100 [GeneID=6672].</w:t>
      </w:r>
      <w:r>
        <w:t xml:space="preserve"> </w:t>
      </w:r>
      <w:hyperlink r:id="rId50">
        <w:r>
          <w:rPr>
            <w:rStyle w:val="Hyperlink"/>
          </w:rPr>
          <w:t xml:space="preserve">[https://www.gsea-msigdb.org/gsea/msigdb/human/geneset/YORDY_RECIPROCAL_REGULATION_BY_ETS1_AND_SP100_DN.html]</w:t>
        </w:r>
      </w:hyperlink>
    </w:p>
    <w:p>
      <w:pPr>
        <w:pStyle w:val="BodyText"/>
      </w:pPr>
      <w:r>
        <w:rPr>
          <w:bCs/>
          <w:b/>
        </w:rPr>
        <w:t xml:space="preserve">KAAB_HEART_ATRIUM_VS_VENTRICLE_UP</w:t>
      </w:r>
      <w:r>
        <w:t xml:space="preserve">: Genes up-regulated in the atria of healthy hearts, compared to venticles.</w:t>
      </w:r>
      <w:r>
        <w:t xml:space="preserve"> </w:t>
      </w:r>
      <w:hyperlink r:id="rId51">
        <w:r>
          <w:rPr>
            <w:rStyle w:val="Hyperlink"/>
          </w:rPr>
          <w:t xml:space="preserve">[https://www.gsea-msigdb.org/gsea/msigdb/human/geneset/KAAB_HEART_ATRIUM_VS_VENTRICLE_UP.html]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52">
        <w:r>
          <w:rPr>
            <w:rStyle w:val="Hyperlink"/>
          </w:rPr>
          <w:t xml:space="preserve">[https://www.gsea-msigdb.org/gsea/msigdb/human/geneset/DODD_NASOPHARYNGEAL_CARCINOMA_UP.html]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53">
        <w:r>
          <w:rPr>
            <w:rStyle w:val="Hyperlink"/>
          </w:rPr>
          <w:t xml:space="preserve">[https://www.gsea-msigdb.org/gsea/msigdb/human/geneset/FARMER_BREAST_CANCER_BASAL_VS_LULMINAL.html]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54">
        <w:r>
          <w:rPr>
            <w:rStyle w:val="Hyperlink"/>
          </w:rPr>
          <w:t xml:space="preserve">[https://www.gsea-msigdb.org/gsea/msigdb/human/geneset/FARMER_BREAST_CANCER_APOCRINE_VS_BASAL.html]</w:t>
        </w:r>
      </w:hyperlink>
    </w:p>
    <w:p>
      <w:pPr>
        <w:pStyle w:val="BodyText"/>
      </w:pPr>
      <w:r>
        <w:rPr>
          <w:bCs/>
          <w:b/>
        </w:rPr>
        <w:t xml:space="preserve">LEE_NEURAL_CREST_STEM_CELL_DN</w:t>
      </w:r>
      <w:r>
        <w:t xml:space="preserve">: Genes down-regulated in the neural crest stem cells (NCS), defined as p75+/HNK1+ [GeneID=4804;27087].</w:t>
      </w:r>
      <w:r>
        <w:t xml:space="preserve"> </w:t>
      </w:r>
      <w:hyperlink r:id="rId55">
        <w:r>
          <w:rPr>
            <w:rStyle w:val="Hyperlink"/>
          </w:rPr>
          <w:t xml:space="preserve">[https://www.gsea-msigdb.org/gsea/msigdb/human/geneset/LEE_NEURAL_CREST_STEM_CELL_DN.html]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56">
        <w:r>
          <w:rPr>
            <w:rStyle w:val="Hyperlink"/>
          </w:rPr>
          <w:t xml:space="preserve">[https://www.gsea-msigdb.org/gsea/msigdb/human/geneset/KOKKINAKIS_METHIONINE_DEPRIVATION_96HR_UP.html]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57">
        <w:r>
          <w:rPr>
            <w:rStyle w:val="Hyperlink"/>
          </w:rPr>
          <w:t xml:space="preserve">[https://www.gsea-msigdb.org/gsea/msigdb/human/geneset/LOPEZ_MBD_TARGETS.html]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58">
        <w:r>
          <w:rPr>
            <w:rStyle w:val="Hyperlink"/>
          </w:rPr>
          <w:t xml:space="preserve">[https://www.gsea-msigdb.org/gsea/msigdb/human/geneset/KOKKINAKIS_METHIONINE_DEPRIVATION_48HR_UP.html]</w:t>
        </w:r>
      </w:hyperlink>
    </w:p>
    <w:p>
      <w:pPr>
        <w:pStyle w:val="BodyText"/>
      </w:pPr>
      <w:r>
        <w:rPr>
          <w:bCs/>
          <w:b/>
        </w:rPr>
        <w:t xml:space="preserve">VERNELL_RETINOBLASTOMA_PATHWAY_UP</w:t>
      </w:r>
      <w:r>
        <w:t xml:space="preserve">: Cluster 1: genes up-regulated by RB1, CDNK2A [GeneID=1029;5925], and one of the E2Fs (E2F1, E2F2, or E2F3 [GeneID=1869;1870;1871]).</w:t>
      </w:r>
      <w:r>
        <w:t xml:space="preserve"> </w:t>
      </w:r>
      <w:hyperlink r:id="rId59">
        <w:r>
          <w:rPr>
            <w:rStyle w:val="Hyperlink"/>
          </w:rPr>
          <w:t xml:space="preserve">[https://www.gsea-msigdb.org/gsea/msigdb/human/geneset/VERNELL_RETINOBLASTOMA_PATHWAY_UP.html]</w:t>
        </w:r>
      </w:hyperlink>
    </w:p>
    <w:p>
      <w:pPr>
        <w:pStyle w:val="BodyText"/>
      </w:pPr>
      <w:r>
        <w:rPr>
          <w:bCs/>
          <w:b/>
        </w:rPr>
        <w:t xml:space="preserve">LIU_SOX4_TARGETS_DN</w:t>
      </w:r>
      <w:r>
        <w:t xml:space="preserve">: Genes down-regulated in LNCaP cells (prostate cancer) by overexpression of SOX4 [GeneID=6659] and up-regulated by its RNAi knockdown.</w:t>
      </w:r>
      <w:r>
        <w:t xml:space="preserve"> </w:t>
      </w:r>
      <w:hyperlink r:id="rId60">
        <w:r>
          <w:rPr>
            <w:rStyle w:val="Hyperlink"/>
          </w:rPr>
          <w:t xml:space="preserve">[https://www.gsea-msigdb.org/gsea/msigdb/human/geneset/LIU_SOX4_TARGETS_DN.html]</w:t>
        </w:r>
      </w:hyperlink>
    </w:p>
    <w:bookmarkEnd w:id="61"/>
    <w:bookmarkEnd w:id="62"/>
    <w:bookmarkStart w:id="63"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BTG/Tob family. This family has structurally related proteins that appear to have antiproliferative properties. This encoded protein might play a role in neurogenesis in the central nervous system. Two transcript variants encoding different isoforms have been found for this gene. [provided by RefSeq, Aug 2008]</w:t>
      </w:r>
    </w:p>
    <w:p>
      <w:pPr>
        <w:pStyle w:val="BodyText"/>
      </w:pPr>
      <w:r>
        <w:rPr>
          <w:bCs/>
          <w:b/>
        </w:rPr>
        <w:t xml:space="preserve">GeneCards Summary</w:t>
      </w:r>
      <w:r>
        <w:t xml:space="preserve">: BTG3 (BTG Anti-Proliferation Factor 3) is a Protein Coding gene. Diseases associated with BTG3 include Cataract 37 and Enterokinase Deficiency. An important paralog of this gene is BTG4.</w:t>
      </w:r>
    </w:p>
    <w:p>
      <w:pPr>
        <w:pStyle w:val="BodyText"/>
      </w:pPr>
      <w:r>
        <w:rPr>
          <w:bCs/>
          <w:b/>
        </w:rPr>
        <w:t xml:space="preserve">UniProtKB/Swiss-Prot Summary</w:t>
      </w:r>
      <w:r>
        <w:t xml:space="preserve">: Overexpression impairs serum-induced cell cycle progression from the G0/G1 to S phase.</w:t>
      </w:r>
    </w:p>
    <w:bookmarkEnd w:id="63"/>
    <w:bookmarkStart w:id="65" w:name="cellular-location-of-gene-product"/>
    <w:p>
      <w:pPr>
        <w:pStyle w:val="Heading1"/>
      </w:pPr>
      <w:r>
        <w:t xml:space="preserve">8. Cellular Location of Gene Product</w:t>
      </w:r>
    </w:p>
    <w:p>
      <w:pPr>
        <w:pStyle w:val="FirstParagraph"/>
      </w:pPr>
      <w:r>
        <w:t xml:space="preserve">Cytoplasmic expression in most tissues, including ciliated cells in fallopian tube. Predicted location: Intracellular [</w:t>
      </w:r>
      <w:hyperlink r:id="rId64">
        <w:r>
          <w:rPr>
            <w:rStyle w:val="Hyperlink"/>
          </w:rPr>
          <w:t xml:space="preserve">https://www.proteinatlas.org/ENSG00000154640/subcellular</w:t>
        </w:r>
      </w:hyperlink>
      <w:r>
        <w:t xml:space="preserve">]</w:t>
      </w:r>
    </w:p>
    <w:bookmarkEnd w:id="65"/>
    <w:bookmarkStart w:id="67" w:name="mechanistic-information"/>
    <w:p>
      <w:pPr>
        <w:pStyle w:val="Heading1"/>
      </w:pPr>
      <w:r>
        <w:t xml:space="preserve">9. Mechanistic Information</w:t>
      </w:r>
    </w:p>
    <w:p>
      <w:pPr>
        <w:numPr>
          <w:ilvl w:val="0"/>
          <w:numId w:val="1007"/>
        </w:numPr>
        <w:pStyle w:val="Compact"/>
      </w:pPr>
      <w:r>
        <w:t xml:space="preserve">BTG3 mediates the promoting effects of miR-519c-3p on the proliferation and motility of hepatocellular carcinoma (HCC) cells [PMID: 31387005].</w:t>
      </w:r>
    </w:p>
    <w:p>
      <w:pPr>
        <w:numPr>
          <w:ilvl w:val="0"/>
          <w:numId w:val="1007"/>
        </w:numPr>
        <w:pStyle w:val="Compact"/>
      </w:pPr>
      <w:r>
        <w:t xml:space="preserve">BTG3 suppressed proliferation, invasion and induced G1/S cycle arrest of hepatocellular carcinoma (HCC) cells in vitro [PMID: 24147003].</w:t>
      </w:r>
    </w:p>
    <w:p>
      <w:pPr>
        <w:numPr>
          <w:ilvl w:val="0"/>
          <w:numId w:val="1007"/>
        </w:numPr>
        <w:pStyle w:val="Compact"/>
      </w:pPr>
      <w:r>
        <w:t xml:space="preserve">BTG3 is downregulated in human non-melanoma skin cancers. Dysregulation of BTG3 in keratinocytes leads to elevated NF-kappaB activity, promoting adipocyte differentiation via IL1α, IL10, and CCL4, while the adipocytes produce CCL20 and FGF7 in a feedback loop to promote keratinocyte migration. BTG3 regulation impacts the interaction between keratinocytes and adipocytes, influencing signaling pathways involved in skin cancer pathogenesis [PMID: 38714880].</w:t>
      </w:r>
    </w:p>
    <w:p>
      <w:pPr>
        <w:numPr>
          <w:ilvl w:val="0"/>
          <w:numId w:val="1007"/>
        </w:numPr>
        <w:pStyle w:val="Compact"/>
      </w:pPr>
      <w:r>
        <w:t xml:space="preserve">Ectopic expression of BTG3 suppresses angiogenesis in xenograft tumors; and syngenic tumor growth and metastasis were enhanced in Btg3-null mice. Loss of the tumor suppressor BTG3 drives a pro-angiogenic tumor microenvironment through HIF-1 activation. Mechanistically, the BTG3 C-terminal domain competes with the coactivator p300 for binding the HIF-1α transactivation domain [PMID: 33311481].</w:t>
      </w:r>
    </w:p>
    <w:p>
      <w:pPr>
        <w:numPr>
          <w:ilvl w:val="0"/>
          <w:numId w:val="1007"/>
        </w:numPr>
        <w:pStyle w:val="Compact"/>
      </w:pPr>
      <w:r>
        <w:t xml:space="preserve">BTG3 was downregulated in colorectal cancer (CRC) tissues. BTG3 knockdown promoted cell proliferation, migration, invasion, relieved G2 arrest, and inhibited apoptosis in CRC cells. Downregulation of BTG3 resulted in differential expressions in genes referred to the extracellular-regulated kinase/mitogen-activated protein kinase pathway. BTG3 knockdown upregulated PAK2, RPS6KA5, YWHAB, and signal transducer and activator of transcription (STAT)3 protein levels, but downregulated RAP1A, DUSP6, and STAT1 protein expression, which might strengthen the aggressive CRC behavior [PMID: 29270670].</w:t>
      </w:r>
    </w:p>
    <w:p>
      <w:pPr>
        <w:numPr>
          <w:ilvl w:val="0"/>
          <w:numId w:val="1007"/>
        </w:numPr>
        <w:pStyle w:val="Compact"/>
      </w:pPr>
      <w:r>
        <w:t xml:space="preserve">BTG3 overexpression could inhibit cell proliferation and invasion and promote cell apoptosis in epithelial ovarian cancer (EOC) cell, possibly by regulating the AKT/GSK3beta/beta-catenin signaling pathway [PMID: 28183228].</w:t>
      </w:r>
    </w:p>
    <w:bookmarkStart w:id="66" w:name="summary"/>
    <w:p>
      <w:pPr>
        <w:pStyle w:val="Heading2"/>
      </w:pPr>
      <w:r>
        <w:t xml:space="preserve">Summary</w:t>
      </w:r>
    </w:p>
    <w:p>
      <w:pPr>
        <w:pStyle w:val="FirstParagraph"/>
      </w:pPr>
      <w:r>
        <w:t xml:space="preserve">BTG3 functions as an anti-proliferative factor that inhibits cell cycle progression, particularly inducing G1/S phase arrest [CS: 9]. The protein modulates several signaling pathways including the extracellular signal-regulated kinase/mitogen-activated protein kinase (ERK/MAPK) pathway and AKT/GSK3beta/beta-catenin signaling [CS: 8]. BTG3 also interacts with transcription factors such as HIF-1α by preventing its association with coactivator p300, thereby regulating angiogenesis and restricting excessive cellular proliferation [CS: 7].</w:t>
      </w:r>
    </w:p>
    <w:p>
      <w:pPr>
        <w:pStyle w:val="BodyText"/>
      </w:pPr>
      <w:r>
        <w:t xml:space="preserve">In typical hepatic stress or toxic exposures, Btg3 could be upregulated through p53-dependent mechanisms to block the proliferation of damaged cells and restrain inflammatory mediators [CS: 6]. This protective increase in Btg3 levels helps curb further injury by slowing cell-cycle progression and mitigating potentially harmful signals [CS: 6]. However, in hepatocellular carcinoma and other liver diseases, BTG3 is often persistently downregulated through mechanisms including promoter hypermethylation and interference by miRNAs such as miR-519c-3p [CS: 8]. This downregulation of BTG3 compromises its normal cell cycle regulatory function and tumor-suppressive effects, resulting in enhanced proliferation, invasion, and metastasis of liver cancer cells [CS: 8].</w:t>
      </w:r>
    </w:p>
    <w:bookmarkEnd w:id="66"/>
    <w:bookmarkEnd w:id="67"/>
    <w:bookmarkStart w:id="68" w:name="upstream-regulators"/>
    <w:p>
      <w:pPr>
        <w:pStyle w:val="Heading1"/>
      </w:pPr>
      <w:r>
        <w:t xml:space="preserve">10. Upstream Regulators</w:t>
      </w:r>
    </w:p>
    <w:p>
      <w:pPr>
        <w:numPr>
          <w:ilvl w:val="0"/>
          <w:numId w:val="1008"/>
        </w:numPr>
        <w:pStyle w:val="Compact"/>
      </w:pPr>
      <w:r>
        <w:t xml:space="preserve">B-cell translocation gene 3 (BTG3) was identified as a direct downstream target of miR-519c-3p. MicroRNA-519c-3p promotes tumor growth and metastasis of hepatocellular carcinoma by targeting BTG3 [PMID: 31387005].</w:t>
      </w:r>
    </w:p>
    <w:p>
      <w:pPr>
        <w:numPr>
          <w:ilvl w:val="0"/>
          <w:numId w:val="1008"/>
        </w:numPr>
        <w:pStyle w:val="Compact"/>
      </w:pPr>
      <w:r>
        <w:t xml:space="preserve">The microRNA miR-139 could directly inhibit the expression of BTG3 in hepatocellular carcinoma (HCC) cells [PMID: 29268856].</w:t>
      </w:r>
    </w:p>
    <w:p>
      <w:pPr>
        <w:numPr>
          <w:ilvl w:val="0"/>
          <w:numId w:val="1008"/>
        </w:numPr>
        <w:pStyle w:val="Compact"/>
      </w:pPr>
      <w:r>
        <w:t xml:space="preserve">In a search for DNA damage-inducible, CHK1-modulated genes, a study identified BTG3 (B-cell translocation gene 3) as a direct p53 target [PMID: 17690688].</w:t>
      </w:r>
    </w:p>
    <w:p>
      <w:pPr>
        <w:numPr>
          <w:ilvl w:val="0"/>
          <w:numId w:val="1008"/>
        </w:numPr>
        <w:pStyle w:val="Compact"/>
      </w:pPr>
      <w:r>
        <w:t xml:space="preserve">The microRNA miR-106b-5p plays a tumorigenesis role in non-small cell lung cancer (NSCLC) progression by down-regulating BTG3 expression. BTG3 was a direct target of miR-106b-5p [PMID: 29197876].</w:t>
      </w:r>
    </w:p>
    <w:p>
      <w:pPr>
        <w:numPr>
          <w:ilvl w:val="0"/>
          <w:numId w:val="1008"/>
        </w:numPr>
        <w:pStyle w:val="Compact"/>
      </w:pPr>
      <w:r>
        <w:t xml:space="preserve">Btg3 gene expression in gastric cancer tissues was upregulated at the mRNA level by overexpression of lncRNA CA3-AS1, which inhibited cancer cell invasion in vivo by sponging miR-93-5p [PMID: 33051589].</w:t>
      </w:r>
    </w:p>
    <w:bookmarkEnd w:id="68"/>
    <w:bookmarkStart w:id="7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9">
        <w:r>
          <w:rPr>
            <w:rStyle w:val="Hyperlink"/>
          </w:rPr>
          <w:t xml:space="preserve">https://www.proteinatlas.org/ENSG00000154640/tissue</w:t>
        </w:r>
      </w:hyperlink>
      <w:r>
        <w:t xml:space="preserve">]</w:t>
      </w:r>
    </w:p>
    <w:p>
      <w:pPr>
        <w:pStyle w:val="BodyText"/>
      </w:pPr>
      <w:r>
        <w:rPr>
          <w:bCs/>
          <w:b/>
        </w:rPr>
        <w:t xml:space="preserve">Cell type enhanced</w:t>
      </w:r>
      <w:r>
        <w:t xml:space="preserve">: cytotrophoblasts, syncytiotrophoblasts (cell type enhanced) [</w:t>
      </w:r>
      <w:hyperlink r:id="rId70">
        <w:r>
          <w:rPr>
            <w:rStyle w:val="Hyperlink"/>
          </w:rPr>
          <w:t xml:space="preserve">https://www.proteinatlas.org/ENSG00000154640/single+cell+type</w:t>
        </w:r>
      </w:hyperlink>
      <w:r>
        <w:t xml:space="preserve">]</w:t>
      </w:r>
    </w:p>
    <w:bookmarkEnd w:id="71"/>
    <w:bookmarkStart w:id="72" w:name="role-of-gene-in-other-tissues"/>
    <w:p>
      <w:pPr>
        <w:pStyle w:val="Heading1"/>
      </w:pPr>
      <w:r>
        <w:t xml:space="preserve">12. Role of Gene in Other Tissues</w:t>
      </w:r>
    </w:p>
    <w:p>
      <w:pPr>
        <w:numPr>
          <w:ilvl w:val="0"/>
          <w:numId w:val="1009"/>
        </w:numPr>
        <w:pStyle w:val="Compact"/>
      </w:pPr>
      <w:r>
        <w:t xml:space="preserve">BTG3 protein expression was found to be reduced in lung cancer tissues compared to benign lung tissues [PMID: 23810394].</w:t>
      </w:r>
    </w:p>
    <w:p>
      <w:pPr>
        <w:numPr>
          <w:ilvl w:val="0"/>
          <w:numId w:val="1009"/>
        </w:numPr>
        <w:pStyle w:val="Compact"/>
      </w:pPr>
      <w:r>
        <w:t xml:space="preserve">BTG3 expression was found to be decreased at both mRNA and protein levels in esophageal adenocarcinoma tissues, and its decreased expression is associated with lymph node metastases [PMID: 25701359].</w:t>
      </w:r>
    </w:p>
    <w:p>
      <w:pPr>
        <w:numPr>
          <w:ilvl w:val="0"/>
          <w:numId w:val="1009"/>
        </w:numPr>
        <w:pStyle w:val="Compact"/>
      </w:pPr>
      <w:r>
        <w:t xml:space="preserve">Gene expression of BTG3 in renal cell carcinoma (RCC) tissues is downregulated due to degradation induced by TRIM65, negatively correlating with TRIM65 levels [PMID: 38777825].</w:t>
      </w:r>
    </w:p>
    <w:p>
      <w:pPr>
        <w:numPr>
          <w:ilvl w:val="0"/>
          <w:numId w:val="1009"/>
        </w:numPr>
        <w:pStyle w:val="Compact"/>
      </w:pPr>
      <w:r>
        <w:t xml:space="preserve">BTG3 mRNA and protein expression levels were higher in ovarian normal tissue and benign tumors compared to epithelial ovarian carcinomas (EOCs), with downregulation observed in poorly differentiated EOCs [PMID: 23657964].</w:t>
      </w:r>
    </w:p>
    <w:p>
      <w:pPr>
        <w:numPr>
          <w:ilvl w:val="0"/>
          <w:numId w:val="1009"/>
        </w:numPr>
        <w:pStyle w:val="Compact"/>
      </w:pPr>
      <w:r>
        <w:t xml:space="preserve">BTG3 mRNA expression is associated with autophagy promotion in nasopharyngeal carcinoma (NPC) in BALB/c mouse tumor models, with its modulation linked to the malignant phenotype and poor prognosis due to effects on autophagy-regulating MAPK signaling [PMID: 32627648].</w:t>
      </w:r>
    </w:p>
    <w:p>
      <w:pPr>
        <w:numPr>
          <w:ilvl w:val="0"/>
          <w:numId w:val="1009"/>
        </w:numPr>
        <w:pStyle w:val="Compact"/>
      </w:pPr>
      <w:r>
        <w:t xml:space="preserve">BTG3 levels are downregulated in basal and squamous cell carcinoma compared to normal skin tissue, with Btg3 knockout mice showing increased papilloma development in DMBA/TPA-induced skin carcinogenesis [PMID: 38714880].</w:t>
      </w:r>
    </w:p>
    <w:p>
      <w:pPr>
        <w:numPr>
          <w:ilvl w:val="0"/>
          <w:numId w:val="1009"/>
        </w:numPr>
        <w:pStyle w:val="Compact"/>
      </w:pPr>
      <w:r>
        <w:t xml:space="preserve">BTG3 was downregulated in colorectal cancer tissues and positively correlated with pathological classification, depth of invasion, distant metastasis, TNM stage, and overall survival (OS) and disease-free survival (DFS) [PMID: 29270670].</w:t>
      </w:r>
    </w:p>
    <w:p>
      <w:pPr>
        <w:numPr>
          <w:ilvl w:val="0"/>
          <w:numId w:val="1009"/>
        </w:numPr>
        <w:pStyle w:val="Compact"/>
      </w:pPr>
      <w:r>
        <w:t xml:space="preserve">Down-regulation of BTG3 promotes cell proliferation, migration and invasion and predicts survival in gastric cancer (GC). BTG3 expression was positively correlated with distant metastasis. And GC patients with lower BTG3 expression had shorter overall survival time [PMID: 25238703].</w:t>
      </w:r>
    </w:p>
    <w:bookmarkEnd w:id="72"/>
    <w:bookmarkStart w:id="74" w:name="X6a418851aade75f9472f140bae959c91bd4b668"/>
    <w:p>
      <w:pPr>
        <w:pStyle w:val="Heading1"/>
      </w:pPr>
      <w:r>
        <w:t xml:space="preserve">13. Chemicals Known to Elicit Transcriptional Response of Biomarker in Tissue of Interest</w:t>
      </w:r>
    </w:p>
    <w:bookmarkStart w:id="73" w:name="X600d33a2660f152ae9c796beb655bf7abc2ba5b"/>
    <w:p>
      <w:pPr>
        <w:pStyle w:val="Heading2"/>
      </w:pPr>
      <w: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17beta-estradiol [PMID: 20106945]</w:t>
      </w:r>
    </w:p>
    <w:p>
      <w:pPr>
        <w:numPr>
          <w:ilvl w:val="0"/>
          <w:numId w:val="1010"/>
        </w:numPr>
        <w:pStyle w:val="Compact"/>
      </w:pPr>
      <w:r>
        <w:t xml:space="preserve">4-(N-nitrosomethylamino)-1-(3-pyridyl)butan-1-one [PMID: 22484513]</w:t>
      </w:r>
    </w:p>
    <w:p>
      <w:pPr>
        <w:numPr>
          <w:ilvl w:val="0"/>
          <w:numId w:val="1010"/>
        </w:numPr>
        <w:pStyle w:val="Compact"/>
      </w:pPr>
      <w:r>
        <w:t xml:space="preserve">Triptolide [PMID: 32835833]</w:t>
      </w:r>
    </w:p>
    <w:p>
      <w:pPr>
        <w:numPr>
          <w:ilvl w:val="0"/>
          <w:numId w:val="1010"/>
        </w:numPr>
        <w:pStyle w:val="Compact"/>
      </w:pPr>
      <w:r>
        <w:t xml:space="preserve">acetamide [PMID: 31881176]</w:t>
      </w:r>
    </w:p>
    <w:p>
      <w:pPr>
        <w:numPr>
          <w:ilvl w:val="0"/>
          <w:numId w:val="1010"/>
        </w:numPr>
        <w:pStyle w:val="Compact"/>
      </w:pPr>
      <w:r>
        <w:t xml:space="preserve">aflatoxin B1 [PMID: 22100608, PMID: 25378103, PMID: 27153756, PMID: 22484513]</w:t>
      </w:r>
    </w:p>
    <w:p>
      <w:pPr>
        <w:numPr>
          <w:ilvl w:val="0"/>
          <w:numId w:val="1010"/>
        </w:numPr>
        <w:pStyle w:val="Compact"/>
      </w:pPr>
      <w:r>
        <w:t xml:space="preserve">cyclosporin A [PMID: 27989131]</w:t>
      </w:r>
    </w:p>
    <w:p>
      <w:pPr>
        <w:numPr>
          <w:ilvl w:val="0"/>
          <w:numId w:val="1010"/>
        </w:numPr>
        <w:pStyle w:val="Compact"/>
      </w:pPr>
      <w:r>
        <w:t xml:space="preserve">dichloroacetic acid [PMID: 28962523]</w:t>
      </w:r>
    </w:p>
    <w:p>
      <w:pPr>
        <w:numPr>
          <w:ilvl w:val="0"/>
          <w:numId w:val="1010"/>
        </w:numPr>
        <w:pStyle w:val="Compact"/>
      </w:pPr>
      <w:r>
        <w:t xml:space="preserve">flutamide [PMID: 24793618]</w:t>
      </w:r>
    </w:p>
    <w:p>
      <w:pPr>
        <w:numPr>
          <w:ilvl w:val="0"/>
          <w:numId w:val="1010"/>
        </w:numPr>
        <w:pStyle w:val="Compact"/>
      </w:pPr>
      <w:r>
        <w:t xml:space="preserve">glafenine [PMID: 24136188]</w:t>
      </w:r>
    </w:p>
    <w:p>
      <w:pPr>
        <w:numPr>
          <w:ilvl w:val="0"/>
          <w:numId w:val="1010"/>
        </w:numPr>
        <w:pStyle w:val="Compact"/>
      </w:pPr>
      <w:r>
        <w:t xml:space="preserve">metacetamol [PMID: 18544908]</w:t>
      </w:r>
    </w:p>
    <w:p>
      <w:pPr>
        <w:numPr>
          <w:ilvl w:val="0"/>
          <w:numId w:val="1010"/>
        </w:numPr>
        <w:pStyle w:val="Compact"/>
      </w:pPr>
      <w:r>
        <w:t xml:space="preserve">perfluorooctanoic acid [PMID: 19162173]</w:t>
      </w:r>
    </w:p>
    <w:p>
      <w:pPr>
        <w:numPr>
          <w:ilvl w:val="0"/>
          <w:numId w:val="1010"/>
        </w:numPr>
        <w:pStyle w:val="Compact"/>
      </w:pPr>
      <w:r>
        <w:t xml:space="preserve">pirinixic acid [PMID: 18445702]</w:t>
      </w:r>
    </w:p>
    <w:p>
      <w:pPr>
        <w:numPr>
          <w:ilvl w:val="0"/>
          <w:numId w:val="1010"/>
        </w:numPr>
        <w:pStyle w:val="Compact"/>
      </w:pPr>
      <w:r>
        <w:t xml:space="preserve">propiconazole [PMID: 21278054]</w:t>
      </w:r>
    </w:p>
    <w:p>
      <w:pPr>
        <w:numPr>
          <w:ilvl w:val="0"/>
          <w:numId w:val="1010"/>
        </w:numPr>
        <w:pStyle w:val="Compact"/>
      </w:pPr>
      <w:r>
        <w:t xml:space="preserve">tetrachloromethane [PMID: 31150632]</w:t>
      </w:r>
    </w:p>
    <w:p>
      <w:pPr>
        <w:numPr>
          <w:ilvl w:val="0"/>
          <w:numId w:val="1010"/>
        </w:numPr>
        <w:pStyle w:val="Compact"/>
      </w:pPr>
      <w:r>
        <w:t xml:space="preserve">thioacetamide [PMID: 23411599, PMID: 34492290]</w:t>
      </w:r>
    </w:p>
    <w:p>
      <w:pPr>
        <w:numPr>
          <w:ilvl w:val="0"/>
          <w:numId w:val="1010"/>
        </w:numPr>
        <w:pStyle w:val="Compact"/>
      </w:pPr>
      <w:r>
        <w:t xml:space="preserve">trichloroethene [PMID: 25549359]</w:t>
      </w:r>
    </w:p>
    <w:bookmarkEnd w:id="73"/>
    <w:bookmarkEnd w:id="74"/>
    <w:bookmarkStart w:id="7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Juvenile arthritis [PMID: 16807696]</w:t>
      </w:r>
    </w:p>
    <w:p>
      <w:pPr>
        <w:numPr>
          <w:ilvl w:val="0"/>
          <w:numId w:val="1011"/>
        </w:numPr>
        <w:pStyle w:val="Compact"/>
      </w:pPr>
      <w:r>
        <w:t xml:space="preserve">Renal Cell Carcinoma [PMID: 19221000]</w:t>
      </w:r>
    </w:p>
    <w:p>
      <w:pPr>
        <w:numPr>
          <w:ilvl w:val="0"/>
          <w:numId w:val="1011"/>
        </w:numPr>
        <w:pStyle w:val="Compact"/>
      </w:pPr>
      <w:r>
        <w:t xml:space="preserve">Conventional (Clear Cell) Renal Cell Carcinoma [PMID: 19221000]</w:t>
      </w:r>
    </w:p>
    <w:p>
      <w:pPr>
        <w:numPr>
          <w:ilvl w:val="0"/>
          <w:numId w:val="1011"/>
        </w:numPr>
        <w:pStyle w:val="Compact"/>
      </w:pPr>
      <w:r>
        <w:t xml:space="preserve">Neoplasms [PMID: 23533280, PMID: 28407690]</w:t>
      </w:r>
    </w:p>
    <w:p>
      <w:pPr>
        <w:numPr>
          <w:ilvl w:val="0"/>
          <w:numId w:val="1011"/>
        </w:numPr>
        <w:pStyle w:val="Compact"/>
      </w:pPr>
      <w:r>
        <w:t xml:space="preserve">Lupus Erythematosus, Systemic [PMID: 28526593]</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O88677" TargetMode="External" /><Relationship Type="http://schemas.openxmlformats.org/officeDocument/2006/relationships/hyperlink" Id="rId37" Target="https://alphafold.ebi.ac.uk/entry/Q14201" TargetMode="External" /><Relationship Type="http://schemas.openxmlformats.org/officeDocument/2006/relationships/hyperlink" Id="rId27" Target="https://maayanlab.cloud/Harmonizome/gene/BTG3" TargetMode="External" /><Relationship Type="http://schemas.openxmlformats.org/officeDocument/2006/relationships/hyperlink" Id="rId42" Target="https://reactome.org/PathwayBrowser/#/R-HSA-195721" TargetMode="External" /><Relationship Type="http://schemas.openxmlformats.org/officeDocument/2006/relationships/hyperlink" Id="rId41" Target="https://reactome.org/PathwayBrowser/#/R-HSA-2559583" TargetMode="External" /><Relationship Type="http://schemas.openxmlformats.org/officeDocument/2006/relationships/hyperlink" Id="rId40" Target="https://reactome.org/PathwayBrowser/#/R-HSA-69580" TargetMode="External" /><Relationship Type="http://schemas.openxmlformats.org/officeDocument/2006/relationships/hyperlink" Id="rId32" Target="https://rgd.mcw.edu/rgdweb/report/gene/main.html?id=2226" TargetMode="External" /><Relationship Type="http://schemas.openxmlformats.org/officeDocument/2006/relationships/hyperlink" Id="rId30" Target="https://useast.ensembl.org/Homo_sapiens/Gene/Summary?g=ENSG00000154640" TargetMode="External" /><Relationship Type="http://schemas.openxmlformats.org/officeDocument/2006/relationships/hyperlink" Id="rId31" Target="https://useast.ensembl.org/Rattus_norvegicus/Gene/Summary?g=ENSRNOG00000001555" TargetMode="External" /><Relationship Type="http://schemas.openxmlformats.org/officeDocument/2006/relationships/hyperlink" Id="rId20" Target="https://www.genecards.org/Search/Keyword?queryString=Btg3" TargetMode="External" /><Relationship Type="http://schemas.openxmlformats.org/officeDocument/2006/relationships/hyperlink" Id="rId26" Target="https://www.genecards.org/cgi-bin/carddisp.pl?gene=BTG3" TargetMode="External" /><Relationship Type="http://schemas.openxmlformats.org/officeDocument/2006/relationships/hyperlink" Id="rId46" Target="https://www.gsea-msigdb.org/gsea/msigdb/human/geneset/ACEVEDO_LIVER_CANCER_UP.html" TargetMode="External" /><Relationship Type="http://schemas.openxmlformats.org/officeDocument/2006/relationships/hyperlink" Id="rId45" Target="https://www.gsea-msigdb.org/gsea/msigdb/human/geneset/ACEVEDO_LIVER_TUMOR_VS_NORMAL_ADJACENT_TISSUE_UP.html" TargetMode="External" /><Relationship Type="http://schemas.openxmlformats.org/officeDocument/2006/relationships/hyperlink" Id="rId48" Target="https://www.gsea-msigdb.org/gsea/msigdb/human/geneset/BROWNE_HCMV_INFECTION_16HR_UP.html" TargetMode="External" /><Relationship Type="http://schemas.openxmlformats.org/officeDocument/2006/relationships/hyperlink" Id="rId49" Target="https://www.gsea-msigdb.org/gsea/msigdb/human/geneset/DEBIASI_APOPTOSIS_BY_REOVIRUS_INFECTION_UP.html" TargetMode="External" /><Relationship Type="http://schemas.openxmlformats.org/officeDocument/2006/relationships/hyperlink" Id="rId52" Target="https://www.gsea-msigdb.org/gsea/msigdb/human/geneset/DODD_NASOPHARYNGEAL_CARCINOMA_UP.html" TargetMode="External" /><Relationship Type="http://schemas.openxmlformats.org/officeDocument/2006/relationships/hyperlink" Id="rId54" Target="https://www.gsea-msigdb.org/gsea/msigdb/human/geneset/FARMER_BREAST_CANCER_APOCRINE_VS_BASAL.html" TargetMode="External" /><Relationship Type="http://schemas.openxmlformats.org/officeDocument/2006/relationships/hyperlink" Id="rId53" Target="https://www.gsea-msigdb.org/gsea/msigdb/human/geneset/FARMER_BREAST_CANCER_BASAL_VS_LULMINAL.html" TargetMode="External" /><Relationship Type="http://schemas.openxmlformats.org/officeDocument/2006/relationships/hyperlink" Id="rId47" Target="https://www.gsea-msigdb.org/gsea/msigdb/human/geneset/HOSHIDA_LIVER_CANCER_SUBCLASS_S2.html" TargetMode="External" /><Relationship Type="http://schemas.openxmlformats.org/officeDocument/2006/relationships/hyperlink" Id="rId51" Target="https://www.gsea-msigdb.org/gsea/msigdb/human/geneset/KAAB_HEART_ATRIUM_VS_VENTRICLE_UP.html" TargetMode="External" /><Relationship Type="http://schemas.openxmlformats.org/officeDocument/2006/relationships/hyperlink" Id="rId58" Target="https://www.gsea-msigdb.org/gsea/msigdb/human/geneset/KOKKINAKIS_METHIONINE_DEPRIVATION_48HR_UP.html" TargetMode="External" /><Relationship Type="http://schemas.openxmlformats.org/officeDocument/2006/relationships/hyperlink" Id="rId56" Target="https://www.gsea-msigdb.org/gsea/msigdb/human/geneset/KOKKINAKIS_METHIONINE_DEPRIVATION_96HR_UP.html" TargetMode="External" /><Relationship Type="http://schemas.openxmlformats.org/officeDocument/2006/relationships/hyperlink" Id="rId55" Target="https://www.gsea-msigdb.org/gsea/msigdb/human/geneset/LEE_NEURAL_CREST_STEM_CELL_DN.html" TargetMode="External" /><Relationship Type="http://schemas.openxmlformats.org/officeDocument/2006/relationships/hyperlink" Id="rId60" Target="https://www.gsea-msigdb.org/gsea/msigdb/human/geneset/LIU_SOX4_TARGETS_DN.html" TargetMode="External" /><Relationship Type="http://schemas.openxmlformats.org/officeDocument/2006/relationships/hyperlink" Id="rId57" Target="https://www.gsea-msigdb.org/gsea/msigdb/human/geneset/LOPEZ_MBD_TARGETS.html" TargetMode="External" /><Relationship Type="http://schemas.openxmlformats.org/officeDocument/2006/relationships/hyperlink" Id="rId59" Target="https://www.gsea-msigdb.org/gsea/msigdb/human/geneset/VERNELL_RETINOBLASTOMA_PATHWAY_UP.html" TargetMode="External" /><Relationship Type="http://schemas.openxmlformats.org/officeDocument/2006/relationships/hyperlink" Id="rId50" Target="https://www.gsea-msigdb.org/gsea/msigdb/human/geneset/YORDY_RECIPROCAL_REGULATION_BY_ETS1_AND_SP100_DN.html" TargetMode="External" /><Relationship Type="http://schemas.openxmlformats.org/officeDocument/2006/relationships/hyperlink" Id="rId28" Target="https://www.ncbi.nlm.nih.gov/gene/10950" TargetMode="External" /><Relationship Type="http://schemas.openxmlformats.org/officeDocument/2006/relationships/hyperlink" Id="rId29" Target="https://www.ncbi.nlm.nih.gov/gene/54230" TargetMode="External" /><Relationship Type="http://schemas.openxmlformats.org/officeDocument/2006/relationships/hyperlink" Id="rId70" Target="https://www.proteinatlas.org/ENSG00000154640/single+cell+type" TargetMode="External" /><Relationship Type="http://schemas.openxmlformats.org/officeDocument/2006/relationships/hyperlink" Id="rId64" Target="https://www.proteinatlas.org/ENSG00000154640/subcellular" TargetMode="External" /><Relationship Type="http://schemas.openxmlformats.org/officeDocument/2006/relationships/hyperlink" Id="rId69" Target="https://www.proteinatlas.org/ENSG00000154640/tissue" TargetMode="External" /><Relationship Type="http://schemas.openxmlformats.org/officeDocument/2006/relationships/hyperlink" Id="rId34" Target="https://www.uniprot.org/uniprotkb/O88677" TargetMode="External" /><Relationship Type="http://schemas.openxmlformats.org/officeDocument/2006/relationships/hyperlink" Id="rId33" Target="https://www.uniprot.org/uniprotkb/Q14201" TargetMode="External" /><Relationship Type="http://schemas.openxmlformats.org/officeDocument/2006/relationships/hyperlink" Id="rId35" Target="https://www.wikigenes.org/e/gene/e/10950.html" TargetMode="External" /><Relationship Type="http://schemas.openxmlformats.org/officeDocument/2006/relationships/hyperlink" Id="rId36" Target="https://www.wikigenes.org/e/gene/e/54230.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O88677" TargetMode="External" /><Relationship Type="http://schemas.openxmlformats.org/officeDocument/2006/relationships/hyperlink" Id="rId37" Target="https://alphafold.ebi.ac.uk/entry/Q14201" TargetMode="External" /><Relationship Type="http://schemas.openxmlformats.org/officeDocument/2006/relationships/hyperlink" Id="rId27" Target="https://maayanlab.cloud/Harmonizome/gene/BTG3" TargetMode="External" /><Relationship Type="http://schemas.openxmlformats.org/officeDocument/2006/relationships/hyperlink" Id="rId42" Target="https://reactome.org/PathwayBrowser/#/R-HSA-195721" TargetMode="External" /><Relationship Type="http://schemas.openxmlformats.org/officeDocument/2006/relationships/hyperlink" Id="rId41" Target="https://reactome.org/PathwayBrowser/#/R-HSA-2559583" TargetMode="External" /><Relationship Type="http://schemas.openxmlformats.org/officeDocument/2006/relationships/hyperlink" Id="rId40" Target="https://reactome.org/PathwayBrowser/#/R-HSA-69580" TargetMode="External" /><Relationship Type="http://schemas.openxmlformats.org/officeDocument/2006/relationships/hyperlink" Id="rId32" Target="https://rgd.mcw.edu/rgdweb/report/gene/main.html?id=2226" TargetMode="External" /><Relationship Type="http://schemas.openxmlformats.org/officeDocument/2006/relationships/hyperlink" Id="rId30" Target="https://useast.ensembl.org/Homo_sapiens/Gene/Summary?g=ENSG00000154640" TargetMode="External" /><Relationship Type="http://schemas.openxmlformats.org/officeDocument/2006/relationships/hyperlink" Id="rId31" Target="https://useast.ensembl.org/Rattus_norvegicus/Gene/Summary?g=ENSRNOG00000001555" TargetMode="External" /><Relationship Type="http://schemas.openxmlformats.org/officeDocument/2006/relationships/hyperlink" Id="rId20" Target="https://www.genecards.org/Search/Keyword?queryString=Btg3" TargetMode="External" /><Relationship Type="http://schemas.openxmlformats.org/officeDocument/2006/relationships/hyperlink" Id="rId26" Target="https://www.genecards.org/cgi-bin/carddisp.pl?gene=BTG3" TargetMode="External" /><Relationship Type="http://schemas.openxmlformats.org/officeDocument/2006/relationships/hyperlink" Id="rId46" Target="https://www.gsea-msigdb.org/gsea/msigdb/human/geneset/ACEVEDO_LIVER_CANCER_UP.html" TargetMode="External" /><Relationship Type="http://schemas.openxmlformats.org/officeDocument/2006/relationships/hyperlink" Id="rId45" Target="https://www.gsea-msigdb.org/gsea/msigdb/human/geneset/ACEVEDO_LIVER_TUMOR_VS_NORMAL_ADJACENT_TISSUE_UP.html" TargetMode="External" /><Relationship Type="http://schemas.openxmlformats.org/officeDocument/2006/relationships/hyperlink" Id="rId48" Target="https://www.gsea-msigdb.org/gsea/msigdb/human/geneset/BROWNE_HCMV_INFECTION_16HR_UP.html" TargetMode="External" /><Relationship Type="http://schemas.openxmlformats.org/officeDocument/2006/relationships/hyperlink" Id="rId49" Target="https://www.gsea-msigdb.org/gsea/msigdb/human/geneset/DEBIASI_APOPTOSIS_BY_REOVIRUS_INFECTION_UP.html" TargetMode="External" /><Relationship Type="http://schemas.openxmlformats.org/officeDocument/2006/relationships/hyperlink" Id="rId52" Target="https://www.gsea-msigdb.org/gsea/msigdb/human/geneset/DODD_NASOPHARYNGEAL_CARCINOMA_UP.html" TargetMode="External" /><Relationship Type="http://schemas.openxmlformats.org/officeDocument/2006/relationships/hyperlink" Id="rId54" Target="https://www.gsea-msigdb.org/gsea/msigdb/human/geneset/FARMER_BREAST_CANCER_APOCRINE_VS_BASAL.html" TargetMode="External" /><Relationship Type="http://schemas.openxmlformats.org/officeDocument/2006/relationships/hyperlink" Id="rId53" Target="https://www.gsea-msigdb.org/gsea/msigdb/human/geneset/FARMER_BREAST_CANCER_BASAL_VS_LULMINAL.html" TargetMode="External" /><Relationship Type="http://schemas.openxmlformats.org/officeDocument/2006/relationships/hyperlink" Id="rId47" Target="https://www.gsea-msigdb.org/gsea/msigdb/human/geneset/HOSHIDA_LIVER_CANCER_SUBCLASS_S2.html" TargetMode="External" /><Relationship Type="http://schemas.openxmlformats.org/officeDocument/2006/relationships/hyperlink" Id="rId51" Target="https://www.gsea-msigdb.org/gsea/msigdb/human/geneset/KAAB_HEART_ATRIUM_VS_VENTRICLE_UP.html" TargetMode="External" /><Relationship Type="http://schemas.openxmlformats.org/officeDocument/2006/relationships/hyperlink" Id="rId58" Target="https://www.gsea-msigdb.org/gsea/msigdb/human/geneset/KOKKINAKIS_METHIONINE_DEPRIVATION_48HR_UP.html" TargetMode="External" /><Relationship Type="http://schemas.openxmlformats.org/officeDocument/2006/relationships/hyperlink" Id="rId56" Target="https://www.gsea-msigdb.org/gsea/msigdb/human/geneset/KOKKINAKIS_METHIONINE_DEPRIVATION_96HR_UP.html" TargetMode="External" /><Relationship Type="http://schemas.openxmlformats.org/officeDocument/2006/relationships/hyperlink" Id="rId55" Target="https://www.gsea-msigdb.org/gsea/msigdb/human/geneset/LEE_NEURAL_CREST_STEM_CELL_DN.html" TargetMode="External" /><Relationship Type="http://schemas.openxmlformats.org/officeDocument/2006/relationships/hyperlink" Id="rId60" Target="https://www.gsea-msigdb.org/gsea/msigdb/human/geneset/LIU_SOX4_TARGETS_DN.html" TargetMode="External" /><Relationship Type="http://schemas.openxmlformats.org/officeDocument/2006/relationships/hyperlink" Id="rId57" Target="https://www.gsea-msigdb.org/gsea/msigdb/human/geneset/LOPEZ_MBD_TARGETS.html" TargetMode="External" /><Relationship Type="http://schemas.openxmlformats.org/officeDocument/2006/relationships/hyperlink" Id="rId59" Target="https://www.gsea-msigdb.org/gsea/msigdb/human/geneset/VERNELL_RETINOBLASTOMA_PATHWAY_UP.html" TargetMode="External" /><Relationship Type="http://schemas.openxmlformats.org/officeDocument/2006/relationships/hyperlink" Id="rId50" Target="https://www.gsea-msigdb.org/gsea/msigdb/human/geneset/YORDY_RECIPROCAL_REGULATION_BY_ETS1_AND_SP100_DN.html" TargetMode="External" /><Relationship Type="http://schemas.openxmlformats.org/officeDocument/2006/relationships/hyperlink" Id="rId28" Target="https://www.ncbi.nlm.nih.gov/gene/10950" TargetMode="External" /><Relationship Type="http://schemas.openxmlformats.org/officeDocument/2006/relationships/hyperlink" Id="rId29" Target="https://www.ncbi.nlm.nih.gov/gene/54230" TargetMode="External" /><Relationship Type="http://schemas.openxmlformats.org/officeDocument/2006/relationships/hyperlink" Id="rId70" Target="https://www.proteinatlas.org/ENSG00000154640/single+cell+type" TargetMode="External" /><Relationship Type="http://schemas.openxmlformats.org/officeDocument/2006/relationships/hyperlink" Id="rId64" Target="https://www.proteinatlas.org/ENSG00000154640/subcellular" TargetMode="External" /><Relationship Type="http://schemas.openxmlformats.org/officeDocument/2006/relationships/hyperlink" Id="rId69" Target="https://www.proteinatlas.org/ENSG00000154640/tissue" TargetMode="External" /><Relationship Type="http://schemas.openxmlformats.org/officeDocument/2006/relationships/hyperlink" Id="rId34" Target="https://www.uniprot.org/uniprotkb/O88677" TargetMode="External" /><Relationship Type="http://schemas.openxmlformats.org/officeDocument/2006/relationships/hyperlink" Id="rId33" Target="https://www.uniprot.org/uniprotkb/Q14201" TargetMode="External" /><Relationship Type="http://schemas.openxmlformats.org/officeDocument/2006/relationships/hyperlink" Id="rId35" Target="https://www.wikigenes.org/e/gene/e/10950.html" TargetMode="External" /><Relationship Type="http://schemas.openxmlformats.org/officeDocument/2006/relationships/hyperlink" Id="rId36" Target="https://www.wikigenes.org/e/gene/e/542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2025-03-12T03:42:22Z</dcterms:created>
  <dcterms:modified xsi:type="dcterms:W3CDTF">2025-03-12T03:42:22Z</dcterms:modified>
</cp:coreProperties>
</file>

<file path=docProps/custom.xml><?xml version="1.0" encoding="utf-8"?>
<Properties xmlns="http://schemas.openxmlformats.org/officeDocument/2006/custom-properties" xmlns:vt="http://schemas.openxmlformats.org/officeDocument/2006/docPropsVTypes"/>
</file>