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Glutamate-Cysteine Ligase Catalytic Subunit, GLCLC, GLCL, GCS, Glutamate–Cysteine Ligase Catalytic Subunit, Gamma-Glutamylcysteine Synthetase, GCS Heavy Chain, EC 6.3.2.2, Gamma-ECS, Glutamate-Cysteine Ligase Catalytic Subunit, GCL [</w:t>
      </w:r>
      <w:hyperlink r:id="rId20">
        <w:r>
          <w:rPr>
            <w:rStyle w:val="Hyperlink"/>
          </w:rPr>
          <w:t xml:space="preserve">https://www.genecards.org/cgi-bin/carddisp.pl?gene=GCLC</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The mRNA expression of Gclc in liver from patients with end-stage liver disease was significantly down-regulated compared to control samples [PMID: 22459801].</w:t>
      </w:r>
    </w:p>
    <w:p>
      <w:pPr>
        <w:numPr>
          <w:ilvl w:val="0"/>
          <w:numId w:val="1002"/>
        </w:numPr>
        <w:pStyle w:val="Compact"/>
      </w:pPr>
      <w:r>
        <w:t xml:space="preserve">The mRNA expression of Gclc in the liver of BALB/c mice was upregulated 24 hours after infection with Plasmodium yoelii [PMID: 11160243].</w:t>
      </w:r>
    </w:p>
    <w:p>
      <w:pPr>
        <w:numPr>
          <w:ilvl w:val="0"/>
          <w:numId w:val="1002"/>
        </w:numPr>
        <w:pStyle w:val="Compact"/>
      </w:pPr>
      <w:r>
        <w:t xml:space="preserve">Increased hepatic gene expression of Gclc occurs during rapid growth, oxidative stress, and after ethanol treatment in rat [PMID: 11439094]. Vitamin E-deficiency up-regulated the mRNA expression of Gclc in the liver of rats, with enhanced NF-kappaB DNA-binding activity [PMID: 16298738].</w:t>
      </w:r>
    </w:p>
    <w:p>
      <w:pPr>
        <w:numPr>
          <w:ilvl w:val="0"/>
          <w:numId w:val="1002"/>
        </w:numPr>
        <w:pStyle w:val="Compact"/>
      </w:pPr>
      <w:r>
        <w:t xml:space="preserve">Gclc mRNA expression in liver was impaired in Nrf2-deficient mice after hepatic ischemia-reperfusion [PMID: 24368646].</w:t>
      </w:r>
    </w:p>
    <w:p>
      <w:pPr>
        <w:numPr>
          <w:ilvl w:val="0"/>
          <w:numId w:val="1002"/>
        </w:numPr>
        <w:pStyle w:val="Compact"/>
      </w:pPr>
      <w:r>
        <w:t xml:space="preserve">In humans, higher mRNA expression of Gclc was observed in fibrotic livers compared to disease-free livers, while lower mRNA expression was noted in steatotic livers [PMID: 33162398].</w:t>
      </w:r>
    </w:p>
    <w:p>
      <w:pPr>
        <w:numPr>
          <w:ilvl w:val="0"/>
          <w:numId w:val="1002"/>
        </w:numPr>
        <w:pStyle w:val="Compact"/>
      </w:pPr>
      <w:r>
        <w:t xml:space="preserve">The mRNA expression of Gclc (GCS-HS) in the liver decreased in streptozotocin-induced diabetic rats, a change that was prevented with insulin replacement [PMID: 7651354].</w:t>
      </w:r>
    </w:p>
    <w:p>
      <w:pPr>
        <w:numPr>
          <w:ilvl w:val="0"/>
          <w:numId w:val="1002"/>
        </w:numPr>
        <w:pStyle w:val="Compact"/>
      </w:pPr>
      <w:r>
        <w:t xml:space="preserve">Gclc (gamma-GCS(hc)) mRNA expression is reduced at the onset of liver decay in MTF-1 knockout mice [PMID: 11266553].</w:t>
      </w:r>
    </w:p>
    <w:p>
      <w:pPr>
        <w:numPr>
          <w:ilvl w:val="0"/>
          <w:numId w:val="1002"/>
        </w:numPr>
        <w:pStyle w:val="Compact"/>
      </w:pPr>
      <w:r>
        <w:t xml:space="preserve">Following bile duct ligation (BDL) in mice, mRNA expression of Gclc in the liver transiently increased but subsequently fell to 50% of baseline after 2 weeks [PMID: 19399914].</w:t>
      </w:r>
    </w:p>
    <w:p>
      <w:pPr>
        <w:numPr>
          <w:ilvl w:val="0"/>
          <w:numId w:val="1002"/>
        </w:numPr>
        <w:pStyle w:val="Compact"/>
      </w:pPr>
      <w:r>
        <w:t xml:space="preserve">CYP2E1-mediated oxidative stress upregulates mRNA expression of Gclc in the liver of pyrazole-injected rats [PMID: 12500194].</w:t>
      </w:r>
    </w:p>
    <w:p>
      <w:pPr>
        <w:numPr>
          <w:ilvl w:val="0"/>
          <w:numId w:val="1002"/>
        </w:numPr>
        <w:pStyle w:val="Compact"/>
      </w:pPr>
      <w:r>
        <w:t xml:space="preserve">Following three weeks of hepatocarcinogen (thioacetamide [TAA]) treatment in rats, liver mRNA levels of Gclc (GCS-HS) was significantly increased [PMID: 10486302].</w:t>
      </w:r>
    </w:p>
    <w:p>
      <w:pPr>
        <w:numPr>
          <w:ilvl w:val="0"/>
          <w:numId w:val="1002"/>
        </w:numPr>
        <w:pStyle w:val="Compact"/>
      </w:pPr>
      <w:r>
        <w:t xml:space="preserve">Lipopolysaccharide (LPS; synonymous with endotoxin) treatment in vivo reduced mRNA expression of Gclc in mouse liver [PMID: 24296246].</w:t>
      </w:r>
    </w:p>
    <w:p>
      <w:pPr>
        <w:numPr>
          <w:ilvl w:val="0"/>
          <w:numId w:val="1002"/>
        </w:numPr>
        <w:pStyle w:val="Compact"/>
      </w:pPr>
      <w:r>
        <w:t xml:space="preserve">The mRNA levels of g-glutamylcysteine synthetase heavy subunit (GCS-HS) doubled in hepatocellular carcinoma (HCC) [PMID: 11099488]. mRNA expression levels in HCC tissues were significantly elevated as compared with their paired peritumoral tissues [PMID: 31293636]. However, Gclc mRNA levels were found lower in hepatocellular carcinoma (HCC) compared to normal livers and peri-HCC tissues in a different study [PMID: 26459724].</w:t>
      </w:r>
    </w:p>
    <w:p>
      <w:pPr>
        <w:numPr>
          <w:ilvl w:val="0"/>
          <w:numId w:val="1002"/>
        </w:numPr>
        <w:pStyle w:val="Compact"/>
      </w:pPr>
      <w:r>
        <w:t xml:space="preserve">The mRNA expression level of GCLC was significantly elevated after carbon tetrachloride (CCl</w:t>
      </w:r>
      <w:r>
        <w:rPr>
          <w:vertAlign w:val="subscript"/>
        </w:rPr>
        <w:t xml:space="preserve">4</w:t>
      </w:r>
      <w:r>
        <w:t xml:space="preserve">)-induced liver damage in rats [PMID: 36903503].</w:t>
      </w:r>
    </w:p>
    <w:p>
      <w:pPr>
        <w:numPr>
          <w:ilvl w:val="0"/>
          <w:numId w:val="1002"/>
        </w:numPr>
        <w:pStyle w:val="Compact"/>
      </w:pPr>
      <w:r>
        <w:t xml:space="preserve">The mRNA levels of Nrf2, Gclc, and Gclm were notably increased in the liver of estrogen cholestatic rats after 17alpha-ethinylestradiol (EE) treatment [PMID: 33775691].</w:t>
      </w:r>
    </w:p>
    <w:p>
      <w:pPr>
        <w:numPr>
          <w:ilvl w:val="0"/>
          <w:numId w:val="1002"/>
        </w:numPr>
        <w:pStyle w:val="Compact"/>
      </w:pPr>
      <w:r>
        <w:t xml:space="preserve">Nuclear factor erythroid-related factor-2 (Nrf2), as well as, glutamate-cysteine ligase catalytic subunit (GCLC) gene expressions are down-regulated in the livers of Acetaminophen (APAP)-intoxicated rats [PMID: 33350580].</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P48506</w:t>
      </w:r>
    </w:p>
    <w:p>
      <w:pPr>
        <w:numPr>
          <w:ilvl w:val="0"/>
          <w:numId w:val="1003"/>
        </w:numPr>
        <w:pStyle w:val="Compact"/>
      </w:pPr>
      <w:r>
        <w:t xml:space="preserve">Size: 637 amino acids</w:t>
      </w:r>
    </w:p>
    <w:p>
      <w:pPr>
        <w:numPr>
          <w:ilvl w:val="0"/>
          <w:numId w:val="1003"/>
        </w:numPr>
        <w:pStyle w:val="Compact"/>
      </w:pPr>
      <w:r>
        <w:t xml:space="preserve">Molecular mass: 72766 Da</w:t>
      </w:r>
    </w:p>
    <w:p>
      <w:pPr>
        <w:numPr>
          <w:ilvl w:val="0"/>
          <w:numId w:val="1003"/>
        </w:numPr>
        <w:pStyle w:val="Compact"/>
      </w:pPr>
      <w:r>
        <w:t xml:space="preserve">Domains: GCS, Gln_synth/guanido_kin_cat_dom</w:t>
      </w:r>
    </w:p>
    <w:p>
      <w:pPr>
        <w:numPr>
          <w:ilvl w:val="0"/>
          <w:numId w:val="1003"/>
        </w:numPr>
        <w:pStyle w:val="Compact"/>
      </w:pPr>
      <w:r>
        <w:t xml:space="preserve">Blocks: Glutamate-cysteine ligase catalytic subunit</w:t>
      </w:r>
    </w:p>
    <w:p>
      <w:pPr>
        <w:numPr>
          <w:ilvl w:val="0"/>
          <w:numId w:val="1003"/>
        </w:numPr>
        <w:pStyle w:val="Compact"/>
      </w:pPr>
      <w:r>
        <w:t xml:space="preserve">Family: Belongs to the glutamate-cysteine ligase type 3 family</w:t>
      </w:r>
    </w:p>
    <w:p>
      <w:pPr>
        <w:numPr>
          <w:ilvl w:val="0"/>
          <w:numId w:val="1003"/>
        </w:numPr>
        <w:pStyle w:val="Compact"/>
      </w:pPr>
      <w:r>
        <w:t xml:space="preserve">Enzyme of GSH synthesis, GCL, is a heterodimeric protein composed of catalytic (GCLC) and modifier (GCLM) subunits that are expressed from different genes. GCLC catalyzes a unique gamma-carboxyl linkage from glutamate to cysteine and requires ATP and Mg(++) as cofactors in this reaction. GCLC participates in the first and rate-limiting step in glutathione biosynthesis. Dysregulation of GSH synthesis is contributing to the pathogenesis of many pathological conditions, such as diabetes mellitus, pulmonary fibrosis, cholestatic liver injury, endotoxemia and drug-resistant tumor cells [PMID: 9675072, PMID: 18812186].</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GCLM</w:t>
      </w:r>
      <w:r>
        <w:t xml:space="preserve"> </w:t>
      </w:r>
      <w:r>
        <w:t xml:space="preserve">Glutamate-cysteine ligase modifier subunit; Belongs to the aldo/keto reductase family. Glutamate– cysteine ligase light chain subfamily. [PMID: 26344197, PMID: 28514442, PMID: 9675072, PMID: 9841880]</w:t>
      </w:r>
    </w:p>
    <w:p>
      <w:pPr>
        <w:numPr>
          <w:ilvl w:val="0"/>
          <w:numId w:val="1004"/>
        </w:numPr>
        <w:pStyle w:val="Compact"/>
      </w:pPr>
      <w:r>
        <w:rPr>
          <w:bCs/>
          <w:b/>
        </w:rPr>
        <w:t xml:space="preserve">AGL</w:t>
      </w:r>
      <w:r>
        <w:t xml:space="preserve"> </w:t>
      </w:r>
      <w:r>
        <w:t xml:space="preserve">Amylo-alpha-1,6-glucosidase; Multifunctional enzyme acting as 1,4-alpha-D-glucan:1,4- alpha-D-glucan 4-alpha-D-glycosyltransferase and amylo-1,6-glucosidase in glycogen degradation. [PMID: 26344197]</w:t>
      </w:r>
    </w:p>
    <w:p>
      <w:pPr>
        <w:numPr>
          <w:ilvl w:val="0"/>
          <w:numId w:val="1004"/>
        </w:numPr>
        <w:pStyle w:val="Compact"/>
      </w:pPr>
      <w:r>
        <w:rPr>
          <w:bCs/>
          <w:b/>
        </w:rPr>
        <w:t xml:space="preserve">APEX1</w:t>
      </w:r>
      <w:r>
        <w:t xml:space="preserve"> </w:t>
      </w:r>
      <w:r>
        <w:t xml:space="preserve">DNA-(apurinic or apyrimidinic site) lyase, mitochondrial; Multifunctional protein that plays a central role in the cellular response to oxidative stress. The two major activities of APEX1 are DNA repair and redox regulation of transcriptional factors. Functions as a apurinic/apyrimidinic (AP) endodeoxyribonuclease in the DNA base excision repair (BER) pathway of DNA lesions induced by oxidative and alkylating agents. [PMID: 28986522]</w:t>
      </w:r>
    </w:p>
    <w:p>
      <w:pPr>
        <w:numPr>
          <w:ilvl w:val="0"/>
          <w:numId w:val="1004"/>
        </w:numPr>
        <w:pStyle w:val="Compact"/>
      </w:pPr>
      <w:r>
        <w:rPr>
          <w:bCs/>
          <w:b/>
        </w:rPr>
        <w:t xml:space="preserve">CCL22</w:t>
      </w:r>
      <w:r>
        <w:t xml:space="preserve"> </w:t>
      </w:r>
      <w:r>
        <w:t xml:space="preserve">C-C motif chemokine 22; May play a role in the trafficking of activated/effector T- lymphocytes to inflammatory sites and other aspects of activated T- lymphocyte physiology. Chemotactic for monocytes, dendritic cells and natural killer cells. Mild chemoattractant for primary activated T- lymphocytes and a potent chemoattractant for chronically activated T- lymphocytes but has no chemoattractant activity for neutrophils, eosinophils, and resting T-lymphocytes. Binds to CCR4. [PMID: 21988832]</w:t>
      </w:r>
    </w:p>
    <w:p>
      <w:pPr>
        <w:numPr>
          <w:ilvl w:val="0"/>
          <w:numId w:val="1004"/>
        </w:numPr>
        <w:pStyle w:val="Compact"/>
      </w:pPr>
      <w:r>
        <w:rPr>
          <w:bCs/>
          <w:b/>
        </w:rPr>
        <w:t xml:space="preserve">DHRS11</w:t>
      </w:r>
      <w:r>
        <w:t xml:space="preserve"> </w:t>
      </w:r>
      <w:r>
        <w:t xml:space="preserve">Dehydrogenase/reductase SDR family member 11; Catalyzes the conversion of the 17-keto group of estrone, 4- and 5-androstenes and 5-alpha-androstanes into their 17-beta- hydroxyl metabolites and the conversion of the 3-keto group of 3-, 3,17- and 3,20- diketosteroids into their 3-hydroxyl metabolites. Exhibits reductive 3-beta-hydroxysteroid dehydrogenase activity toward 5-beta-androstanes, 5-beta-pregnanes, 4-pregnenes and bile acids. May also reduce endogenous and exogenous alpha-dicarbonyl compounds and xenobiotic alicyclic ketones. [PMID: 26344197]</w:t>
      </w:r>
    </w:p>
    <w:p>
      <w:pPr>
        <w:numPr>
          <w:ilvl w:val="0"/>
          <w:numId w:val="1004"/>
        </w:numPr>
        <w:pStyle w:val="Compact"/>
      </w:pPr>
      <w:r>
        <w:rPr>
          <w:bCs/>
          <w:b/>
        </w:rPr>
        <w:t xml:space="preserve">DPH5</w:t>
      </w:r>
      <w:r>
        <w:t xml:space="preserve"> </w:t>
      </w:r>
      <w:r>
        <w:t xml:space="preserve">Diphthine methyl ester synthase; S-adenosyl-L-methionine-dependent methyltransferase that catalyzes four methylations of the modified target histidine residue in translation elongation factor 2 (EF-2), to form an intermediate called diphthine methyl ester. The four successive methylation reactions represent the second step of diphthamide biosynthesis. [PMID: 26344197]</w:t>
      </w:r>
    </w:p>
    <w:p>
      <w:pPr>
        <w:numPr>
          <w:ilvl w:val="0"/>
          <w:numId w:val="1004"/>
        </w:numPr>
        <w:pStyle w:val="Compact"/>
      </w:pPr>
      <w:r>
        <w:rPr>
          <w:bCs/>
          <w:b/>
        </w:rPr>
        <w:t xml:space="preserve">ELAVL1</w:t>
      </w:r>
      <w:r>
        <w:t xml:space="preserve"> </w:t>
      </w:r>
      <w:r>
        <w:t xml:space="preserve">ELAV-like protein 1; RNA-binding protein that binds to the 3’-UTR region of mRNAs and increases their stability. Involved in embryonic stem cells (ESCs) differentiation: preferentially binds mRNAs that are not methylated by N6-methyladenosine (m6A), stabilizing them, promoting ESCs differentiation (By similarity). Binds to poly-U elements and AU-rich elements (AREs) in the 3’-UTR of target mRNAs. Binds avidly to the AU-rich element in FOS and IL3/interleukin-3 mRNAs. [PMID: 19322201]</w:t>
      </w:r>
    </w:p>
    <w:p>
      <w:pPr>
        <w:numPr>
          <w:ilvl w:val="0"/>
          <w:numId w:val="1004"/>
        </w:numPr>
        <w:pStyle w:val="Compact"/>
      </w:pPr>
      <w:r>
        <w:rPr>
          <w:bCs/>
          <w:b/>
        </w:rPr>
        <w:t xml:space="preserve">HNRNPH1</w:t>
      </w:r>
      <w:r>
        <w:t xml:space="preserve"> </w:t>
      </w:r>
      <w:r>
        <w:t xml:space="preserve">Heterogeneous nuclear ribonucleoprotein H, N-terminally processed; This protein is a component of the heterogeneous nuclear ribonucleoprotein (hnRNP) complexes which provide the substrate for the processing events that pre-mRNAs undergo before becoming functional, translatable mRNAs in the cytoplasm. Mediates pre-mRNA alternative splicing regulation. Inhibits, together with CUGBP1, insulin receptor (IR) pre-mRNA exon 11 inclusion in myoblast. Binds to the IR RNA. Binds poly(RG). [PMID: 26760575]</w:t>
      </w:r>
    </w:p>
    <w:p>
      <w:pPr>
        <w:numPr>
          <w:ilvl w:val="0"/>
          <w:numId w:val="1004"/>
        </w:numPr>
        <w:pStyle w:val="Compact"/>
      </w:pPr>
      <w:r>
        <w:rPr>
          <w:bCs/>
          <w:b/>
        </w:rPr>
        <w:t xml:space="preserve">NMD3</w:t>
      </w:r>
      <w:r>
        <w:t xml:space="preserve"> </w:t>
      </w:r>
      <w:r>
        <w:t xml:space="preserve">60S ribosomal export protein NMD3; Acts as an adapter for the XPO1/CRM1-mediated export of the 60S ribosomal subunit. [PMID: 28514442]</w:t>
      </w:r>
    </w:p>
    <w:p>
      <w:pPr>
        <w:numPr>
          <w:ilvl w:val="0"/>
          <w:numId w:val="1004"/>
        </w:numPr>
        <w:pStyle w:val="Compact"/>
      </w:pPr>
      <w:r>
        <w:rPr>
          <w:bCs/>
          <w:b/>
        </w:rPr>
        <w:t xml:space="preserve">PAXIP1</w:t>
      </w:r>
      <w:r>
        <w:t xml:space="preserve"> </w:t>
      </w:r>
      <w:r>
        <w:t xml:space="preserve">PAX-interacting protein 1; Involved in DNA damage response and in transcriptional regulation through histone methyltransferase (HMT) complexes. Plays a role in early development. In DNA damage response is required for cell survival after ionizing radiation. In vitro shown to be involved in the homologous recombination mechanism for the repair of double-strand breaks (DSBs). Its localization to DNA damage foci requires RNF8 and UBE2N. [PMID: 22990118]</w:t>
      </w:r>
    </w:p>
    <w:p>
      <w:pPr>
        <w:numPr>
          <w:ilvl w:val="0"/>
          <w:numId w:val="1004"/>
        </w:numPr>
        <w:pStyle w:val="Compact"/>
      </w:pPr>
      <w:r>
        <w:rPr>
          <w:bCs/>
          <w:b/>
        </w:rPr>
        <w:t xml:space="preserve">PPID</w:t>
      </w:r>
      <w:r>
        <w:t xml:space="preserve"> </w:t>
      </w:r>
      <w:r>
        <w:t xml:space="preserve">Peptidyl-prolyl cis-trans isomerase D; PPIase that catalyzes the cis-trans isomerization of proline imidic peptide bonds in oligopeptides and may therefore assist protein folding. Proposed to act as a co- chaperone in HSP90 complexes such as in unligated steroid receptors heterocomplexes. Different co-chaperones seem to compete for association with HSP90 thus establishing distinct HSP90-co-chaperone- receptor complexes with the potential to exert tissue-specific receptor activity control. [PMID: 22863883]</w:t>
      </w:r>
    </w:p>
    <w:p>
      <w:pPr>
        <w:numPr>
          <w:ilvl w:val="0"/>
          <w:numId w:val="1004"/>
        </w:numPr>
        <w:pStyle w:val="Compact"/>
      </w:pPr>
      <w:r>
        <w:rPr>
          <w:bCs/>
          <w:b/>
        </w:rPr>
        <w:t xml:space="preserve">STAU1</w:t>
      </w:r>
      <w:r>
        <w:t xml:space="preserve"> </w:t>
      </w:r>
      <w:r>
        <w:t xml:space="preserve">Double-stranded RNA-binding protein Staufen homolog 1; Binds double-stranded RNA (regardless of the sequence) and tubulin. May play a role in specific positioning of mRNAs at given sites in the cell by cross-linking cytoskeletal and RNA components, and in stimulating their translation at the site. [PMID: 30948266]</w:t>
      </w:r>
    </w:p>
    <w:p>
      <w:pPr>
        <w:numPr>
          <w:ilvl w:val="0"/>
          <w:numId w:val="1004"/>
        </w:numPr>
        <w:pStyle w:val="Compact"/>
      </w:pPr>
      <w:r>
        <w:rPr>
          <w:bCs/>
          <w:b/>
        </w:rPr>
        <w:t xml:space="preserve">TYW3</w:t>
      </w:r>
      <w:r>
        <w:t xml:space="preserve"> </w:t>
      </w:r>
      <w:r>
        <w:t xml:space="preserve">tRNA wybutosine-synthesizing protein 3 homolog; Probable S-adenosyl-L-methionine-dependent methyltransferase that acts as a component of the wybutosine biosynthesis pathway. Wybutosine is a hyper modified guanosine with a tricyclic base found at the 3’-position adjacent to the anticodon of eukaryotic phenylalanine tRNA (By similarity); Belongs to the TYW3 family. [PMID: 28514442]</w:t>
      </w:r>
    </w:p>
    <w:bookmarkEnd w:id="24"/>
    <w:bookmarkStart w:id="27" w:name="interactions-with-text-mining-support"/>
    <w:p>
      <w:pPr>
        <w:pStyle w:val="Heading2"/>
      </w:pPr>
      <w:r>
        <w:t xml:space="preserve">Interactions with text mining support</w:t>
      </w:r>
    </w:p>
    <w:p>
      <w:pPr>
        <w:numPr>
          <w:ilvl w:val="0"/>
          <w:numId w:val="1005"/>
        </w:numPr>
        <w:pStyle w:val="Compact"/>
      </w:pPr>
      <w:r>
        <w:rPr>
          <w:bCs/>
          <w:b/>
        </w:rPr>
        <w:t xml:space="preserve">NFE2L2</w:t>
      </w:r>
      <w:r>
        <w:t xml:space="preserve"> </w:t>
      </w:r>
      <w:r>
        <w:t xml:space="preserve">Nuclear factor erythroid 2-related factor 2; Transcription factor that plays a key role in the response to oxidative stress: binds to antioxidant response (ARE) elements present in the promoter region of many cytoprotective genes, such as phase 2 detoxifying enzymes, and promotes their expression, thereby neutralizing reactive electrophiles. In normal conditions, ubiquitinated and degraded in the cytoplasm by the BCR(KEAP1) complex. [</w:t>
      </w:r>
      <w:hyperlink r:id="rId25">
        <w:r>
          <w:rPr>
            <w:rStyle w:val="Hyperlink"/>
          </w:rPr>
          <w:t xml:space="preserve">https://string-db.org/newstring_cgi/show_edge_details.pl?identifiers=9606.ENSP00000497574 9606.ENSP00000380252</w:t>
        </w:r>
      </w:hyperlink>
      <w:r>
        <w:t xml:space="preserve">]</w:t>
      </w:r>
    </w:p>
    <w:p>
      <w:pPr>
        <w:numPr>
          <w:ilvl w:val="0"/>
          <w:numId w:val="1005"/>
        </w:numPr>
        <w:pStyle w:val="Compact"/>
      </w:pPr>
      <w:r>
        <w:rPr>
          <w:bCs/>
          <w:b/>
        </w:rPr>
        <w:t xml:space="preserve">GSS</w:t>
      </w:r>
      <w:r>
        <w:t xml:space="preserve"> </w:t>
      </w:r>
      <w:r>
        <w:t xml:space="preserve">Glutathione synthetase. [</w:t>
      </w:r>
      <w:hyperlink r:id="rId26">
        <w:r>
          <w:rPr>
            <w:rStyle w:val="Hyperlink"/>
          </w:rPr>
          <w:t xml:space="preserve">https://string-db.org/newstring_cgi/show_edge_details.pl?identifiers=9606.ENSP00000497574 9606.ENSP00000495750</w:t>
        </w:r>
      </w:hyperlink>
      <w:r>
        <w:t xml:space="preserve">]</w:t>
      </w:r>
    </w:p>
    <w:bookmarkEnd w:id="27"/>
    <w:bookmarkEnd w:id="28"/>
    <w:bookmarkStart w:id="41"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https://www.genecards.org/cgi-bin/carddisp.pl?gene=GCLC</w:t>
        </w:r>
      </w:hyperlink>
    </w:p>
    <w:p>
      <w:pPr>
        <w:numPr>
          <w:ilvl w:val="0"/>
          <w:numId w:val="1006"/>
        </w:numPr>
        <w:pStyle w:val="Compact"/>
      </w:pPr>
      <w:r>
        <w:t xml:space="preserve">Harmonizome (human):</w:t>
      </w:r>
      <w:r>
        <w:t xml:space="preserve"> </w:t>
      </w:r>
      <w:hyperlink r:id="rId29">
        <w:r>
          <w:rPr>
            <w:rStyle w:val="Hyperlink"/>
          </w:rPr>
          <w:t xml:space="preserve">https://maayanlab.cloud/Harmonizome/gene/GCLC</w:t>
        </w:r>
      </w:hyperlink>
    </w:p>
    <w:p>
      <w:pPr>
        <w:numPr>
          <w:ilvl w:val="0"/>
          <w:numId w:val="1006"/>
        </w:numPr>
        <w:pStyle w:val="Compact"/>
      </w:pPr>
      <w:r>
        <w:t xml:space="preserve">NCBI (human):</w:t>
      </w:r>
      <w:r>
        <w:t xml:space="preserve"> </w:t>
      </w:r>
      <w:hyperlink r:id="rId30">
        <w:r>
          <w:rPr>
            <w:rStyle w:val="Hyperlink"/>
          </w:rPr>
          <w:t xml:space="preserve">https://www.ncbi.nlm.nih.gov/gene/2729</w:t>
        </w:r>
      </w:hyperlink>
    </w:p>
    <w:p>
      <w:pPr>
        <w:numPr>
          <w:ilvl w:val="0"/>
          <w:numId w:val="1006"/>
        </w:numPr>
        <w:pStyle w:val="Compact"/>
      </w:pPr>
      <w:r>
        <w:t xml:space="preserve">NCBI (rat):</w:t>
      </w:r>
      <w:r>
        <w:t xml:space="preserve"> </w:t>
      </w:r>
      <w:hyperlink r:id="rId31">
        <w:r>
          <w:rPr>
            <w:rStyle w:val="Hyperlink"/>
          </w:rPr>
          <w:t xml:space="preserve">https://www.ncbi.nlm.nih.gov/gene/25283</w:t>
        </w:r>
      </w:hyperlink>
    </w:p>
    <w:p>
      <w:pPr>
        <w:numPr>
          <w:ilvl w:val="0"/>
          <w:numId w:val="1006"/>
        </w:numPr>
        <w:pStyle w:val="Compact"/>
      </w:pPr>
      <w:r>
        <w:t xml:space="preserve">Ensemble (human):</w:t>
      </w:r>
      <w:r>
        <w:t xml:space="preserve"> </w:t>
      </w:r>
      <w:hyperlink r:id="rId32">
        <w:r>
          <w:rPr>
            <w:rStyle w:val="Hyperlink"/>
          </w:rPr>
          <w:t xml:space="preserve">https://useast.ensembl.org/Homo_sapiens/Gene/Summary?g=ENSG00000001084</w:t>
        </w:r>
      </w:hyperlink>
    </w:p>
    <w:p>
      <w:pPr>
        <w:numPr>
          <w:ilvl w:val="0"/>
          <w:numId w:val="1006"/>
        </w:numPr>
        <w:pStyle w:val="Compact"/>
      </w:pPr>
      <w:r>
        <w:t xml:space="preserve">Ensemble (rat):</w:t>
      </w:r>
      <w:r>
        <w:t xml:space="preserve"> </w:t>
      </w:r>
      <w:hyperlink r:id="rId33">
        <w:r>
          <w:rPr>
            <w:rStyle w:val="Hyperlink"/>
          </w:rPr>
          <w:t xml:space="preserve">https://useast.ensembl.org/Rattus_norvegicus/Gene/Summary?g=ENSRNOG00000006302</w:t>
        </w:r>
      </w:hyperlink>
    </w:p>
    <w:p>
      <w:pPr>
        <w:numPr>
          <w:ilvl w:val="0"/>
          <w:numId w:val="1006"/>
        </w:numPr>
        <w:pStyle w:val="Compact"/>
      </w:pPr>
      <w:r>
        <w:t xml:space="preserve">Rat Genome Database (rat):</w:t>
      </w:r>
      <w:r>
        <w:t xml:space="preserve"> </w:t>
      </w:r>
      <w:hyperlink r:id="rId34">
        <w:r>
          <w:rPr>
            <w:rStyle w:val="Hyperlink"/>
          </w:rPr>
          <w:t xml:space="preserve">https://rgd.mcw.edu/rgdweb/report/gene/main.html?id=619868</w:t>
        </w:r>
      </w:hyperlink>
    </w:p>
    <w:p>
      <w:pPr>
        <w:numPr>
          <w:ilvl w:val="0"/>
          <w:numId w:val="1006"/>
        </w:numPr>
        <w:pStyle w:val="Compact"/>
      </w:pPr>
      <w:r>
        <w:t xml:space="preserve">Uniprot (human):</w:t>
      </w:r>
      <w:r>
        <w:t xml:space="preserve"> </w:t>
      </w:r>
      <w:hyperlink r:id="rId35">
        <w:r>
          <w:rPr>
            <w:rStyle w:val="Hyperlink"/>
          </w:rPr>
          <w:t xml:space="preserve">https://www.uniprot.org/uniprotkb/P48506</w:t>
        </w:r>
      </w:hyperlink>
    </w:p>
    <w:p>
      <w:pPr>
        <w:numPr>
          <w:ilvl w:val="0"/>
          <w:numId w:val="1006"/>
        </w:numPr>
        <w:pStyle w:val="Compact"/>
      </w:pPr>
      <w:r>
        <w:t xml:space="preserve">Uniprot (rat):</w:t>
      </w:r>
      <w:r>
        <w:t xml:space="preserve"> </w:t>
      </w:r>
      <w:hyperlink r:id="rId36">
        <w:r>
          <w:rPr>
            <w:rStyle w:val="Hyperlink"/>
          </w:rPr>
          <w:t xml:space="preserve">https://www.uniprot.org/uniprotkb/P19468</w:t>
        </w:r>
      </w:hyperlink>
    </w:p>
    <w:p>
      <w:pPr>
        <w:numPr>
          <w:ilvl w:val="0"/>
          <w:numId w:val="1006"/>
        </w:numPr>
        <w:pStyle w:val="Compact"/>
      </w:pPr>
      <w:r>
        <w:t xml:space="preserve">Wikigenes (human):</w:t>
      </w:r>
      <w:r>
        <w:t xml:space="preserve"> </w:t>
      </w:r>
      <w:hyperlink r:id="rId37">
        <w:r>
          <w:rPr>
            <w:rStyle w:val="Hyperlink"/>
          </w:rPr>
          <w:t xml:space="preserve">https://www.wikigenes.org/e/gene/e/2729.html</w:t>
        </w:r>
      </w:hyperlink>
    </w:p>
    <w:p>
      <w:pPr>
        <w:numPr>
          <w:ilvl w:val="0"/>
          <w:numId w:val="1006"/>
        </w:numPr>
        <w:pStyle w:val="Compact"/>
      </w:pPr>
      <w:r>
        <w:t xml:space="preserve">Wikigenes (rat):</w:t>
      </w:r>
      <w:r>
        <w:t xml:space="preserve"> </w:t>
      </w:r>
      <w:hyperlink r:id="rId38">
        <w:r>
          <w:rPr>
            <w:rStyle w:val="Hyperlink"/>
          </w:rPr>
          <w:t xml:space="preserve">https://www.wikigenes.org/e/gene/e/25283.html</w:t>
        </w:r>
      </w:hyperlink>
    </w:p>
    <w:p>
      <w:pPr>
        <w:numPr>
          <w:ilvl w:val="0"/>
          <w:numId w:val="1006"/>
        </w:numPr>
        <w:pStyle w:val="Compact"/>
      </w:pPr>
      <w:r>
        <w:t xml:space="preserve">Alphafold (human):</w:t>
      </w:r>
      <w:r>
        <w:t xml:space="preserve"> </w:t>
      </w:r>
      <w:hyperlink r:id="rId39">
        <w:r>
          <w:rPr>
            <w:rStyle w:val="Hyperlink"/>
          </w:rPr>
          <w:t xml:space="preserve">https://alphafold.ebi.ac.uk/entry/P48506</w:t>
        </w:r>
      </w:hyperlink>
    </w:p>
    <w:p>
      <w:pPr>
        <w:numPr>
          <w:ilvl w:val="0"/>
          <w:numId w:val="1006"/>
        </w:numPr>
        <w:pStyle w:val="Compact"/>
      </w:pPr>
      <w:r>
        <w:t xml:space="preserve">Alphafold (rat):</w:t>
      </w:r>
      <w:r>
        <w:t xml:space="preserve"> </w:t>
      </w:r>
      <w:hyperlink r:id="rId40">
        <w:r>
          <w:rPr>
            <w:rStyle w:val="Hyperlink"/>
          </w:rPr>
          <w:t xml:space="preserve">https://alphafold.ebi.ac.uk/entry/P19468</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1"/>
    <w:bookmarkStart w:id="89" w:name="X7887dc63a354b4d974b09bbc1761dfdcf7e455e"/>
    <w:p>
      <w:pPr>
        <w:pStyle w:val="Heading1"/>
      </w:pPr>
      <w:r>
        <w:t xml:space="preserve">6. GO Terms, MSigDB Signatures, Pathways Containing Gene with Descriptions of Gene Sets</w:t>
      </w:r>
    </w:p>
    <w:bookmarkStart w:id="45" w:name="pathways"/>
    <w:p>
      <w:pPr>
        <w:pStyle w:val="Heading2"/>
      </w:pPr>
      <w:r>
        <w:t xml:space="preserve">Pathways:</w:t>
      </w:r>
    </w:p>
    <w:p>
      <w:pPr>
        <w:numPr>
          <w:ilvl w:val="0"/>
          <w:numId w:val="1007"/>
        </w:numPr>
        <w:pStyle w:val="Compact"/>
      </w:pPr>
      <w:r>
        <w:rPr>
          <w:bCs/>
          <w:b/>
        </w:rPr>
        <w:t xml:space="preserve">Glutathione synthesis and recycling</w:t>
      </w:r>
      <w:r>
        <w:t xml:space="preserve">: The combination of glutamate, cysteine and ATP is required to form glutathione. The steps involved in the synthesis and recycling of glutathione are outlined (Meister, 1988). [</w:t>
      </w:r>
      <w:hyperlink r:id="rId42">
        <w:r>
          <w:rPr>
            <w:rStyle w:val="Hyperlink"/>
          </w:rPr>
          <w:t xml:space="preserve">https://reactome.org/PathwayBrowser/#/R-HSA-174403</w:t>
        </w:r>
      </w:hyperlink>
      <w:r>
        <w:t xml:space="preserve">]</w:t>
      </w:r>
    </w:p>
    <w:p>
      <w:pPr>
        <w:numPr>
          <w:ilvl w:val="0"/>
          <w:numId w:val="1007"/>
        </w:numPr>
        <w:pStyle w:val="Compact"/>
      </w:pPr>
      <w:r>
        <w:rPr>
          <w:bCs/>
          <w:b/>
        </w:rPr>
        <w:t xml:space="preserve">NFE2L2 regulating anti-oxidant/detoxification enzymes</w:t>
      </w:r>
      <w:r>
        <w:t xml:space="preserve">: Subpathway representing cytoprotective genes regulated by NFE2L2 (NRF2). NFE2L2 is well-studied for its role in oxidative stress where it gets activated by ROS and then induces a plethora of gene expression regulation the oxidative damage. It induces genes/enzymes that regulate the phase 2 detoxification system (eg. GSTs and Glutathione system), ROS scavenging (SODs,PRDX1 ) and cytoprotection (HO1) by regulating inflammation and tissue damage (Tonelli et al, 2018; Shaw et al, 2020). [</w:t>
      </w:r>
      <w:hyperlink r:id="rId43">
        <w:r>
          <w:rPr>
            <w:rStyle w:val="Hyperlink"/>
          </w:rPr>
          <w:t xml:space="preserve">https://reactome.org/PathwayBrowser/#/R-HSA-9818027</w:t>
        </w:r>
      </w:hyperlink>
      <w:r>
        <w:t xml:space="preserve">]</w:t>
      </w:r>
    </w:p>
    <w:p>
      <w:pPr>
        <w:numPr>
          <w:ilvl w:val="0"/>
          <w:numId w:val="1007"/>
        </w:numPr>
        <w:pStyle w:val="Compact"/>
      </w:pPr>
      <w:r>
        <w:rPr>
          <w:bCs/>
          <w:b/>
        </w:rPr>
        <w:t xml:space="preserve">Defective GCLC causes HAGGSD</w:t>
      </w:r>
      <w:r>
        <w:t xml:space="preserve">: In mammalian cells, many antioxidant defence systems exist which protect cells from subsequent exposure to oxidant stresses. One antioxidant is glutathione (GSH), a tripeptide present in virtually all cells that regulates the intracellular redox state and protects cells from oxidative injury. It is metabolised via the gamma-glutamyl cycle, which is catalysed by six enzymes. In man, hereditary deficiencies have been found in five of the six enzymes. Gamma-glutamylcysteine ligase (GCL) catalyses the first and rate-limiting step in GSH biosynthesis. GCL is a heterodimer of a catalytic heavy chain (GCLC) and a regulatory light chain (GCLM). Defects in the catalytic GCLC can cause hemolytic anemia due to gamma-glutamylcysteine synthetase deficiency (HAGGSD; MIM:230450), a disease characterised by hemolytic anemia, glutathione deficiency, myopathy, late-onset spinocerebellar degeneration, and peripheral neuropathy (Ristoff &amp; Larsson 2007, Aoyama &amp; Nakaki 2013). [</w:t>
      </w:r>
      <w:hyperlink r:id="rId44">
        <w:r>
          <w:rPr>
            <w:rStyle w:val="Hyperlink"/>
          </w:rPr>
          <w:t xml:space="preserve">https://reactome.org/PathwayBrowser/#/R-HSA-5578999</w:t>
        </w:r>
      </w:hyperlink>
      <w:r>
        <w:t xml:space="preserve">]</w:t>
      </w:r>
    </w:p>
    <w:bookmarkEnd w:id="45"/>
    <w:bookmarkStart w:id="46" w:name="go-terms"/>
    <w:p>
      <w:pPr>
        <w:pStyle w:val="Heading2"/>
      </w:pPr>
      <w:r>
        <w:t xml:space="preserve">GO terms:</w:t>
      </w:r>
    </w:p>
    <w:p>
      <w:pPr>
        <w:pStyle w:val="FirstParagraph"/>
      </w:pPr>
      <w:r>
        <w:rPr>
          <w:bCs/>
          <w:b/>
        </w:rPr>
        <w:t xml:space="preserve">L-ascorbic acid metabolic process</w:t>
      </w:r>
      <w:r>
        <w:t xml:space="preserve"> </w:t>
      </w:r>
      <w:r>
        <w:t xml:space="preserve">[The chemical reactions and pathways involving L-ascorbic acid, (2R)-2-[(1S)-1,2-dihydroxyethyl]-4-hydroxy-5-oxo-2,5-dihydrofuran-3-olate; L-ascorbic acid is vitamin C and has co-factor and anti-oxidant activities in many species. GO:0019852]</w:t>
      </w:r>
    </w:p>
    <w:p>
      <w:pPr>
        <w:pStyle w:val="BodyText"/>
      </w:pPr>
      <w:r>
        <w:rPr>
          <w:bCs/>
          <w:b/>
        </w:rPr>
        <w:t xml:space="preserve">blood vessel diameter maintenance</w:t>
      </w:r>
      <w:r>
        <w:t xml:space="preserve"> </w:t>
      </w:r>
      <w:r>
        <w:t xml:space="preserve">[Any process that modulates the diameter of blood vessels. GO:0097746]</w:t>
      </w:r>
    </w:p>
    <w:p>
      <w:pPr>
        <w:pStyle w:val="BodyText"/>
      </w:pPr>
      <w:r>
        <w:rPr>
          <w:bCs/>
          <w:b/>
        </w:rPr>
        <w:t xml:space="preserve">cell redox homeostasis</w:t>
      </w:r>
      <w:r>
        <w:t xml:space="preserve"> </w:t>
      </w:r>
      <w:r>
        <w:t xml:space="preserve">[Any process that maintains the redox environment of a cell or compartment within a cell. GO:0045454]</w:t>
      </w:r>
    </w:p>
    <w:p>
      <w:pPr>
        <w:pStyle w:val="BodyText"/>
      </w:pPr>
      <w:r>
        <w:rPr>
          <w:bCs/>
          <w:b/>
        </w:rPr>
        <w:t xml:space="preserve">cellular response to fibroblast growth factor stimulus</w:t>
      </w:r>
      <w:r>
        <w:t xml:space="preserve"> </w:t>
      </w:r>
      <w:r>
        <w:t xml:space="preserve">[Any process that results in a change in state or activity of a cell (in terms of movement, secretion, enzyme production, gene expression, etc.) as a result of an fibroblast growth factor stimulus. GO:0044344]</w:t>
      </w:r>
    </w:p>
    <w:p>
      <w:pPr>
        <w:pStyle w:val="BodyText"/>
      </w:pPr>
      <w:r>
        <w:rPr>
          <w:bCs/>
          <w:b/>
        </w:rPr>
        <w:t xml:space="preserve">cellular response to follicle-stimulating hormone stimulus</w:t>
      </w:r>
      <w:r>
        <w:t xml:space="preserve"> </w:t>
      </w:r>
      <w:r>
        <w:t xml:space="preserve">[Any process that results in a change in state or activity of a cell (in terms of movement, secretion, enzyme production, gene expression, etc.) as a result of a follicle-stimulating hormone stimulus. GO:0071372]</w:t>
      </w:r>
    </w:p>
    <w:p>
      <w:pPr>
        <w:pStyle w:val="BodyText"/>
      </w:pPr>
      <w:r>
        <w:rPr>
          <w:bCs/>
          <w:b/>
        </w:rPr>
        <w:t xml:space="preserve">cellular response to glucose stimulus</w:t>
      </w:r>
      <w:r>
        <w:t xml:space="preserve"> </w:t>
      </w:r>
      <w:r>
        <w:t xml:space="preserve">[Any process that results in a change in state or activity of a cell (in terms of movement, secretion, enzyme production, gene expression, etc.) as a result of a glucose stimulus. GO:0071333]</w:t>
      </w:r>
    </w:p>
    <w:p>
      <w:pPr>
        <w:pStyle w:val="BodyText"/>
      </w:pPr>
      <w:r>
        <w:rPr>
          <w:bCs/>
          <w:b/>
        </w:rPr>
        <w:t xml:space="preserve">cellular response to hepatocyte growth factor stimulus</w:t>
      </w:r>
      <w:r>
        <w:t xml:space="preserve"> </w:t>
      </w:r>
      <w:r>
        <w:t xml:space="preserve">[Any process that results in a change in state or activity of a cell (in terms of movement, secretion, enzyme production, gene expression, etc.) as a result of a hepatocyte growth factor stimulus. GO:0035729]</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cellular response to mechanical stimulus</w:t>
      </w:r>
      <w:r>
        <w:t xml:space="preserve"> </w:t>
      </w:r>
      <w:r>
        <w:t xml:space="preserve">[Any process that results in a change in state or activity of a cell (in terms of movement, secretion, enzyme production, gene expression, etc.) as a result of a mechanical stimulus. GO:0071260]</w:t>
      </w:r>
    </w:p>
    <w:p>
      <w:pPr>
        <w:pStyle w:val="BodyText"/>
      </w:pPr>
      <w:r>
        <w:rPr>
          <w:bCs/>
          <w:b/>
        </w:rPr>
        <w:t xml:space="preserve">cellular response to thyroxine stimulus</w:t>
      </w:r>
      <w:r>
        <w:t xml:space="preserve"> </w:t>
      </w:r>
      <w:r>
        <w:t xml:space="preserve">[A change in state or activity of a cell (in terms of movement, secretion, enzyme production, gene expression, etc.) as a result of a thyroxine stimulus. GO:0097069]</w:t>
      </w:r>
    </w:p>
    <w:p>
      <w:pPr>
        <w:pStyle w:val="BodyText"/>
      </w:pPr>
      <w:r>
        <w:rPr>
          <w:bCs/>
          <w:b/>
        </w:rPr>
        <w:t xml:space="preserve">cysteine metabolic process</w:t>
      </w:r>
      <w:r>
        <w:t xml:space="preserve"> </w:t>
      </w:r>
      <w:r>
        <w:t xml:space="preserve">[The chemical reactions and pathways involving cysteine, 2-amino-3-mercaptopropanoic acid. GO:0006534]</w:t>
      </w:r>
    </w:p>
    <w:p>
      <w:pPr>
        <w:pStyle w:val="BodyText"/>
      </w:pPr>
      <w:r>
        <w:rPr>
          <w:bCs/>
          <w:b/>
        </w:rPr>
        <w:t xml:space="preserve">glutamate metabolic process</w:t>
      </w:r>
      <w:r>
        <w:t xml:space="preserve"> </w:t>
      </w:r>
      <w:r>
        <w:t xml:space="preserve">[The chemical reactions and pathways involving glutamate, the anion of 2-aminopentanedioic acid. GO:0006536]</w:t>
      </w:r>
    </w:p>
    <w:p>
      <w:pPr>
        <w:pStyle w:val="BodyText"/>
      </w:pPr>
      <w:r>
        <w:rPr>
          <w:bCs/>
          <w:b/>
        </w:rPr>
        <w:t xml:space="preserve">glutathione biosynthetic process</w:t>
      </w:r>
      <w:r>
        <w:t xml:space="preserve"> </w:t>
      </w:r>
      <w:r>
        <w:t xml:space="preserve">[The chemical reactions and pathways resulting in the formation of glutathione, the tripeptide glutamylcysteinylglycine, which acts as a coenzyme for some enzymes and as an antioxidant in the protection of sulfhydryl groups in enzymes and other proteins. GO:0006750]</w:t>
      </w:r>
    </w:p>
    <w:p>
      <w:pPr>
        <w:pStyle w:val="BodyText"/>
      </w:pPr>
      <w:r>
        <w:rPr>
          <w:bCs/>
          <w:b/>
        </w:rPr>
        <w:t xml:space="preserve">glutathione metabolic process</w:t>
      </w:r>
      <w:r>
        <w:t xml:space="preserve"> </w:t>
      </w:r>
      <w:r>
        <w:t xml:space="preserve">[The chemical reactions and pathways involving glutathione, the tripeptide glutamylcysteinylglycine, which acts as a coenzyme for some enzymes and as an antioxidant in the protection of sulfhydryl groups in enzymes and other proteins; it has a specific role in the reduction of hydrogen peroxide (H2O2) and oxidized ascorbate, and it participates in the gamma-glutamyl cycle. GO:0006749]</w:t>
      </w:r>
    </w:p>
    <w:p>
      <w:pPr>
        <w:pStyle w:val="BodyText"/>
      </w:pPr>
      <w:r>
        <w:rPr>
          <w:bCs/>
          <w:b/>
        </w:rPr>
        <w:t xml:space="preserve">negative regulation of DNA-templated transcription</w:t>
      </w:r>
      <w:r>
        <w:t xml:space="preserve"> </w:t>
      </w:r>
      <w:r>
        <w:t xml:space="preserve">[Any process that stops, prevents, or reduces the frequency, rate or extent of cellular DNA-templated transcription. GO:0045892]</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extrinsic apoptotic signaling pathway</w:t>
      </w:r>
      <w:r>
        <w:t xml:space="preserve"> </w:t>
      </w:r>
      <w:r>
        <w:t xml:space="preserve">[Any process that stops, prevents or reduces the frequency, rate or extent of extrinsic apoptotic signaling pathway. GO:2001237]</w:t>
      </w:r>
    </w:p>
    <w:p>
      <w:pPr>
        <w:pStyle w:val="BodyText"/>
      </w:pPr>
      <w:r>
        <w:rPr>
          <w:bCs/>
          <w:b/>
        </w:rPr>
        <w:t xml:space="preserve">negative regulation of hepatic stellate cell activation</w:t>
      </w:r>
      <w:r>
        <w:t xml:space="preserve"> </w:t>
      </w:r>
      <w:r>
        <w:t xml:space="preserve">[Any process that stops, prevents or reduces the frequency, rate or extent of hepatic stellate cell activation. GO:2000490]</w:t>
      </w:r>
    </w:p>
    <w:p>
      <w:pPr>
        <w:pStyle w:val="BodyText"/>
      </w:pPr>
      <w:r>
        <w:rPr>
          <w:bCs/>
          <w:b/>
        </w:rPr>
        <w:t xml:space="preserve">negative regulation of mitochondrial outer membrane permeabilization involved in apoptotic signaling pathway</w:t>
      </w:r>
      <w:r>
        <w:t xml:space="preserve"> </w:t>
      </w:r>
      <w:r>
        <w:t xml:space="preserve">[Any process that stops, prevents or reduces the frequency, rate or extent of mitochondrial outer membrane permeabilization involved in apoptotic signaling pathway. GO:1901029]</w:t>
      </w:r>
    </w:p>
    <w:p>
      <w:pPr>
        <w:pStyle w:val="BodyText"/>
      </w:pPr>
      <w:r>
        <w:rPr>
          <w:bCs/>
          <w:b/>
        </w:rPr>
        <w:t xml:space="preserve">negative regulation of neuron apoptotic process</w:t>
      </w:r>
      <w:r>
        <w:t xml:space="preserve"> </w:t>
      </w:r>
      <w:r>
        <w:t xml:space="preserve">[Any process that stops, prevents, or reduces the frequency, rate or extent of cell death by apoptotic process in neurons. GO:0043524]</w:t>
      </w:r>
    </w:p>
    <w:p>
      <w:pPr>
        <w:pStyle w:val="BodyText"/>
      </w:pPr>
      <w:r>
        <w:rPr>
          <w:bCs/>
          <w:b/>
        </w:rPr>
        <w:t xml:space="preserve">negative regulation of protein ubiquitination</w:t>
      </w:r>
      <w:r>
        <w:t xml:space="preserve"> </w:t>
      </w:r>
      <w:r>
        <w:t xml:space="preserve">[Any process that stops, prevents, or reduces the frequency, rate or extent of the addition of ubiquitin groups to a protein. GO:0031397]</w:t>
      </w:r>
    </w:p>
    <w:p>
      <w:pPr>
        <w:pStyle w:val="BodyText"/>
      </w:pPr>
      <w:r>
        <w:rPr>
          <w:bCs/>
          <w:b/>
        </w:rPr>
        <w:t xml:space="preserve">positive regulation of proteasomal ubiquitin-dependent protein catabolic process</w:t>
      </w:r>
      <w:r>
        <w:t xml:space="preserve"> </w:t>
      </w:r>
      <w:r>
        <w:t xml:space="preserve">[Any process that activates or increases the frequency, rate or extent of the breakdown of a protein or peptide by hydrolysis of its peptide bonds, initiated by the covalent attachment of ubiquitin, and mediated by the proteasome. GO:0032436]</w:t>
      </w:r>
    </w:p>
    <w:p>
      <w:pPr>
        <w:pStyle w:val="BodyText"/>
      </w:pPr>
      <w:r>
        <w:rPr>
          <w:bCs/>
          <w:b/>
        </w:rPr>
        <w:t xml:space="preserve">regulation of mitochondrial depolarization</w:t>
      </w:r>
      <w:r>
        <w:t xml:space="preserve"> </w:t>
      </w:r>
      <w:r>
        <w:t xml:space="preserve">[Any process that modulates the frequency, rate or extent of the change in the membrane potential of the mitochondria from negative to positive. GO:0051900]</w:t>
      </w:r>
    </w:p>
    <w:p>
      <w:pPr>
        <w:pStyle w:val="BodyText"/>
      </w:pPr>
      <w:r>
        <w:rPr>
          <w:bCs/>
          <w:b/>
        </w:rPr>
        <w:t xml:space="preserve">response to activity</w:t>
      </w:r>
      <w:r>
        <w:t xml:space="preserve"> </w:t>
      </w:r>
      <w:r>
        <w:t xml:space="preserve">[Any process that results in a change in state or activity of a cell or an organism (in terms of movement, secretion, enzyme production, gene expression, etc.) as a result of an activity stimulus. GO:0014823]</w:t>
      </w:r>
    </w:p>
    <w:p>
      <w:pPr>
        <w:pStyle w:val="BodyText"/>
      </w:pPr>
      <w:r>
        <w:rPr>
          <w:bCs/>
          <w:b/>
        </w:rPr>
        <w:t xml:space="preserve">response to arsenic-containing substance</w:t>
      </w:r>
      <w:r>
        <w:t xml:space="preserve"> </w:t>
      </w:r>
      <w:r>
        <w:t xml:space="preserve">[Any process that results in a change in state or activity of a cell or an organism (in terms of movement, secretion, enzyme production, gene expression, etc.) as a result of an arsenic stimulus from compounds containing arsenic, including arsenates, arsenites, and arsenides. GO:0046685]</w:t>
      </w:r>
    </w:p>
    <w:p>
      <w:pPr>
        <w:pStyle w:val="BodyText"/>
      </w:pPr>
      <w:r>
        <w:rPr>
          <w:bCs/>
          <w:b/>
        </w:rPr>
        <w:t xml:space="preserve">response to auditory stimulus</w:t>
      </w:r>
      <w:r>
        <w:t xml:space="preserve"> </w:t>
      </w:r>
      <w:r>
        <w:t xml:space="preserve">[Any process that results in a change in state or activity of a cell or an organism (in terms of movement, secretion, enzyme production, gene expression, etc.) as a result of an auditory stimulus. GO:0010996]</w:t>
      </w:r>
    </w:p>
    <w:p>
      <w:pPr>
        <w:pStyle w:val="BodyText"/>
      </w:pPr>
      <w:r>
        <w:rPr>
          <w:bCs/>
          <w:b/>
        </w:rPr>
        <w:t xml:space="preserve">response to cadmium ion</w:t>
      </w:r>
      <w:r>
        <w:t xml:space="preserve"> </w:t>
      </w:r>
      <w:r>
        <w:t xml:space="preserve">[Any process that results in a change in state or activity of a cell or an organism (in terms of movement, secretion, enzyme production, gene expression, etc.) as a result of a cadmium (Cd) ion stimulus. GO:0046686]</w:t>
      </w:r>
    </w:p>
    <w:p>
      <w:pPr>
        <w:pStyle w:val="BodyText"/>
      </w:pPr>
      <w:r>
        <w:rPr>
          <w:bCs/>
          <w:b/>
        </w:rPr>
        <w:t xml:space="preserve">response to heat</w:t>
      </w:r>
      <w:r>
        <w:t xml:space="preserve"> </w:t>
      </w:r>
      <w:r>
        <w:t xml:space="preserve">[Any process that results in a change in state or activity of a cell or an organism (in terms of movement, secretion, enzyme production, gene expression, etc.) as a result of a heat stimulus, a temperature stimulus above the optimal temperature for that organism. GO:0009408]</w:t>
      </w:r>
    </w:p>
    <w:p>
      <w:pPr>
        <w:pStyle w:val="BodyText"/>
      </w:pPr>
      <w:r>
        <w:rPr>
          <w:bCs/>
          <w:b/>
        </w:rPr>
        <w:t xml:space="preserve">response to hormone</w:t>
      </w:r>
      <w:r>
        <w:t xml:space="preserve"> </w:t>
      </w:r>
      <w:r>
        <w:t xml:space="preserve">[Any process that results in a change in state or activity of a cell or an organism (in terms of movement, secretion, enzyme production, gene expression, etc.) as a result of a hormone stimulus. GO:0009725]</w:t>
      </w:r>
    </w:p>
    <w:p>
      <w:pPr>
        <w:pStyle w:val="BodyText"/>
      </w:pPr>
      <w:r>
        <w:rPr>
          <w:bCs/>
          <w:b/>
        </w:rPr>
        <w:t xml:space="preserve">response to human chorionic gonadotropin</w:t>
      </w:r>
      <w:r>
        <w:t xml:space="preserve"> </w:t>
      </w:r>
      <w:r>
        <w:t xml:space="preserve">[Any process that results in a change in state or activity of a cell or organism (in terms of movement, secretion, enzyme production, gene expression, etc.) as a result of a human chorionic gonadotropin stimulus. GO:0044752]</w:t>
      </w:r>
    </w:p>
    <w:p>
      <w:pPr>
        <w:pStyle w:val="BodyText"/>
      </w:pPr>
      <w:r>
        <w:rPr>
          <w:bCs/>
          <w:b/>
        </w:rPr>
        <w:t xml:space="preserve">response to interleukin-1</w:t>
      </w:r>
      <w:r>
        <w:t xml:space="preserve"> </w:t>
      </w:r>
      <w:r>
        <w:t xml:space="preserve">[Any process that results in a change in state or activity of a cell or an organism (in terms of movement, secretion, enzyme production, gene expression, etc.) as a result of an interleukin-1 stimulus. GO:0070555]</w:t>
      </w:r>
    </w:p>
    <w:p>
      <w:pPr>
        <w:pStyle w:val="BodyText"/>
      </w:pPr>
      <w:r>
        <w:rPr>
          <w:bCs/>
          <w:b/>
        </w:rPr>
        <w:t xml:space="preserve">response to nitrosative stress</w:t>
      </w:r>
      <w:r>
        <w:t xml:space="preserve"> </w:t>
      </w:r>
      <w:r>
        <w:t xml:space="preserve">[Any process that results in a change in state or activity of a cell or an organism (in terms of movement, secretion, enzyme production, gene expression, etc.) as a result of a nitrosative stress stimulus. Nitrosative stress is a state often resulting from exposure to high levels of nitric oxide (NO) or the highly reactive oxidant peroxynitrite, which is produced following interaction of NO with superoxide anions. GO:0051409]</w:t>
      </w:r>
    </w:p>
    <w:p>
      <w:pPr>
        <w:pStyle w:val="BodyText"/>
      </w:pPr>
      <w:r>
        <w:rPr>
          <w:bCs/>
          <w:b/>
        </w:rPr>
        <w:t xml:space="preserve">response to nutrient</w:t>
      </w:r>
      <w:r>
        <w:t xml:space="preserve"> </w:t>
      </w:r>
      <w:r>
        <w:t xml:space="preserve">[Any process that results in a change in state or activity of a cell or an organism (in terms of movement, secretion, enzyme production, gene expression, etc.) as a result of a nutrient stimulus. GO:0007584]</w:t>
      </w:r>
    </w:p>
    <w:p>
      <w:pPr>
        <w:pStyle w:val="BodyText"/>
      </w:pPr>
      <w:r>
        <w:rPr>
          <w:bCs/>
          <w:b/>
        </w:rPr>
        <w:t xml:space="preserve">response to oxidative stress</w:t>
      </w:r>
      <w:r>
        <w:t xml:space="preserve"> </w:t>
      </w:r>
      <w:r>
        <w:t xml:space="preserve">[Any process that results in a change in state or activity of a cell or an organism (in terms of movement, secretion, enzyme production, gene expression, etc.) as a result of oxidative stress, a state often resulting from exposure to high levels of reactive oxygen species, e.g. superoxide anions, hydrogen peroxide (H2O2), and hydroxyl radicals. GO:0006979]</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bookmarkEnd w:id="46"/>
    <w:bookmarkStart w:id="88" w:name="msigdb-signatures"/>
    <w:p>
      <w:pPr>
        <w:pStyle w:val="Heading2"/>
      </w:pPr>
      <w:r>
        <w:t xml:space="preserve">MSigDB Signatures:</w:t>
      </w:r>
    </w:p>
    <w:p>
      <w:pPr>
        <w:pStyle w:val="FirstParagraph"/>
      </w:pPr>
      <w:r>
        <w:rPr>
          <w:bCs/>
          <w:b/>
        </w:rPr>
        <w:t xml:space="preserve">REACTOME_DISEASES_OF_METABOLISM</w:t>
      </w:r>
      <w:r>
        <w:t xml:space="preserve">: Diseases of metabolism</w:t>
      </w:r>
      <w:r>
        <w:t xml:space="preserve"> </w:t>
      </w:r>
      <w:hyperlink r:id="rId47">
        <w:r>
          <w:rPr>
            <w:rStyle w:val="Hyperlink"/>
          </w:rPr>
          <w:t xml:space="preserve">[https://www.gsea-msigdb.org/gsea/msigdb/human/geneset/REACTOME_DISEASES_OF_METABOLISM.html]</w:t>
        </w:r>
      </w:hyperlink>
    </w:p>
    <w:p>
      <w:pPr>
        <w:pStyle w:val="BodyText"/>
      </w:pPr>
      <w:r>
        <w:rPr>
          <w:bCs/>
          <w:b/>
        </w:rPr>
        <w:t xml:space="preserve">WP_GAMMAGLUTAMYL_CYCLE_FOR_THE_BIOSYNTHESIS_AND_DEGRADATION_OF_GLUTATHIONE_INCLUDING_DISEASES</w:t>
      </w:r>
      <w:r>
        <w:t xml:space="preserve">: Gamma-glutamyl cycle for the biosynthesis and degradation of glutathione, including diseases</w:t>
      </w:r>
      <w:r>
        <w:t xml:space="preserve"> </w:t>
      </w:r>
      <w:hyperlink r:id="rId48">
        <w:r>
          <w:rPr>
            <w:rStyle w:val="Hyperlink"/>
          </w:rPr>
          <w:t xml:space="preserve">[https://www.gsea-msigdb.org/gsea/msigdb/human/geneset/WP_GAMMAGLUTAMYL_CYCLE_FOR_THE_BIOSYNTHESIS_AND_DEGRADATION_OF_GLUTATHIONE_INCLUDING_DISEASES.html]</w:t>
        </w:r>
      </w:hyperlink>
    </w:p>
    <w:p>
      <w:pPr>
        <w:pStyle w:val="BodyText"/>
      </w:pPr>
      <w:r>
        <w:rPr>
          <w:bCs/>
          <w:b/>
        </w:rPr>
        <w:t xml:space="preserve">ROESSLER_LIVER_CANCER_METASTASIS_UP</w:t>
      </w:r>
      <w:r>
        <w:t xml:space="preserve">: Genes up-regulated in liver samples containing tumor thrombi in the major branches of the portal vein at surgery (PT) compared to those from metastasis-free HCC patients (PN) at the time of surgery and at follow-up.</w:t>
      </w:r>
      <w:r>
        <w:t xml:space="preserve"> </w:t>
      </w:r>
      <w:hyperlink r:id="rId49">
        <w:r>
          <w:rPr>
            <w:rStyle w:val="Hyperlink"/>
          </w:rPr>
          <w:t xml:space="preserve">[https://www.gsea-msigdb.org/gsea/msigdb/human/geneset/ROESSLER_LIVER_CANCER_METASTASIS_UP.html]</w:t>
        </w:r>
      </w:hyperlink>
    </w:p>
    <w:p>
      <w:pPr>
        <w:pStyle w:val="BodyText"/>
      </w:pPr>
      <w:r>
        <w:rPr>
          <w:bCs/>
          <w:b/>
        </w:rPr>
        <w:t xml:space="preserve">CARRILLOREIXACH_HEPATOBLASTOMA_VS_NORMAL_DN</w:t>
      </w:r>
      <w:r>
        <w:t xml:space="preserve">: Genes down-regulated in hepatoblastoma (HB) tumors as compared with non-tumor (NT) adjacent tissue.</w:t>
      </w:r>
      <w:r>
        <w:t xml:space="preserve"> </w:t>
      </w:r>
      <w:hyperlink r:id="rId50">
        <w:r>
          <w:rPr>
            <w:rStyle w:val="Hyperlink"/>
          </w:rPr>
          <w:t xml:space="preserve">[https://www.gsea-msigdb.org/gsea/msigdb/human/geneset/CARRILLOREIXACH_HEPATOBLASTOMA_VS_NORMAL_DN.html]</w:t>
        </w:r>
      </w:hyperlink>
    </w:p>
    <w:p>
      <w:pPr>
        <w:pStyle w:val="BodyText"/>
      </w:pPr>
      <w:r>
        <w:rPr>
          <w:bCs/>
          <w:b/>
        </w:rPr>
        <w:t xml:space="preserve">WP_GLUTATHIONE_METABOLISM</w:t>
      </w:r>
      <w:r>
        <w:t xml:space="preserve">: Glutathione metabolism</w:t>
      </w:r>
      <w:r>
        <w:t xml:space="preserve"> </w:t>
      </w:r>
      <w:hyperlink r:id="rId51">
        <w:r>
          <w:rPr>
            <w:rStyle w:val="Hyperlink"/>
          </w:rPr>
          <w:t xml:space="preserve">[https://www.gsea-msigdb.org/gsea/msigdb/human/geneset/WP_GLUTATHIONE_METABOLISM.html]</w:t>
        </w:r>
      </w:hyperlink>
    </w:p>
    <w:p>
      <w:pPr>
        <w:pStyle w:val="BodyText"/>
      </w:pPr>
      <w:r>
        <w:rPr>
          <w:bCs/>
          <w:b/>
        </w:rPr>
        <w:t xml:space="preserve">KEGG_GLUTATHIONE_METABOLISM</w:t>
      </w:r>
      <w:r>
        <w:t xml:space="preserve">: Glutathione metabolism</w:t>
      </w:r>
      <w:r>
        <w:t xml:space="preserve"> </w:t>
      </w:r>
      <w:hyperlink r:id="rId52">
        <w:r>
          <w:rPr>
            <w:rStyle w:val="Hyperlink"/>
          </w:rPr>
          <w:t xml:space="preserve">[https://www.gsea-msigdb.org/gsea/msigdb/human/geneset/KEGG_GLUTATHIONE_METABOLISM.html]</w:t>
        </w:r>
      </w:hyperlink>
    </w:p>
    <w:p>
      <w:pPr>
        <w:pStyle w:val="BodyText"/>
      </w:pPr>
      <w:r>
        <w:rPr>
          <w:bCs/>
          <w:b/>
        </w:rPr>
        <w:t xml:space="preserve">REACTOME_METABOLIC_DISORDERS_OF_BIOLOGICAL_OXIDATION_ENZYMES</w:t>
      </w:r>
      <w:r>
        <w:t xml:space="preserve">: Metabolic disorders of biological oxidation enzymes</w:t>
      </w:r>
      <w:r>
        <w:t xml:space="preserve"> </w:t>
      </w:r>
      <w:hyperlink r:id="rId53">
        <w:r>
          <w:rPr>
            <w:rStyle w:val="Hyperlink"/>
          </w:rPr>
          <w:t xml:space="preserve">[https://www.gsea-msigdb.org/gsea/msigdb/human/geneset/REACTOME_METABOLIC_DISORDERS_OF_BIOLOGICAL_OXIDATION_ENZYMES.html]</w:t>
        </w:r>
      </w:hyperlink>
    </w:p>
    <w:p>
      <w:pPr>
        <w:pStyle w:val="BodyText"/>
      </w:pPr>
      <w:r>
        <w:rPr>
          <w:bCs/>
          <w:b/>
        </w:rPr>
        <w:t xml:space="preserve">WP_CYSTEINE_AND_METHIONINE_CATABOLISM</w:t>
      </w:r>
      <w:r>
        <w:t xml:space="preserve">: Cysteine and methionine catabolism</w:t>
      </w:r>
      <w:r>
        <w:t xml:space="preserve"> </w:t>
      </w:r>
      <w:hyperlink r:id="rId54">
        <w:r>
          <w:rPr>
            <w:rStyle w:val="Hyperlink"/>
          </w:rPr>
          <w:t xml:space="preserve">[https://www.gsea-msigdb.org/gsea/msigdb/human/geneset/WP_CYSTEINE_AND_METHIONINE_CATABOLISM.html]</w:t>
        </w:r>
      </w:hyperlink>
    </w:p>
    <w:p>
      <w:pPr>
        <w:pStyle w:val="BodyText"/>
      </w:pPr>
      <w:r>
        <w:rPr>
          <w:bCs/>
          <w:b/>
        </w:rPr>
        <w:t xml:space="preserve">WP_NRF2_PATHWAY</w:t>
      </w:r>
      <w:r>
        <w:t xml:space="preserve">: NRF2 pathway</w:t>
      </w:r>
      <w:r>
        <w:t xml:space="preserve"> </w:t>
      </w:r>
      <w:hyperlink r:id="rId55">
        <w:r>
          <w:rPr>
            <w:rStyle w:val="Hyperlink"/>
          </w:rPr>
          <w:t xml:space="preserve">[https://www.gsea-msigdb.org/gsea/msigdb/human/geneset/WP_NRF2_PATHWAY.html]</w:t>
        </w:r>
      </w:hyperlink>
    </w:p>
    <w:p>
      <w:pPr>
        <w:pStyle w:val="BodyText"/>
      </w:pPr>
      <w:r>
        <w:rPr>
          <w:bCs/>
          <w:b/>
        </w:rPr>
        <w:t xml:space="preserve">REACTOME_GLUTATHIONE_CONJUGATION</w:t>
      </w:r>
      <w:r>
        <w:t xml:space="preserve">: Glutathione conjugation</w:t>
      </w:r>
      <w:r>
        <w:t xml:space="preserve"> </w:t>
      </w:r>
      <w:hyperlink r:id="rId56">
        <w:r>
          <w:rPr>
            <w:rStyle w:val="Hyperlink"/>
          </w:rPr>
          <w:t xml:space="preserve">[https://www.gsea-msigdb.org/gsea/msigdb/human/geneset/REACTOME_GLUTATHIONE_CONJUGATION.html]</w:t>
        </w:r>
      </w:hyperlink>
    </w:p>
    <w:p>
      <w:pPr>
        <w:pStyle w:val="BodyText"/>
      </w:pPr>
      <w:r>
        <w:rPr>
          <w:bCs/>
          <w:b/>
        </w:rPr>
        <w:t xml:space="preserve">VILLANUEVA_LIVER_CANCER_KRT19_DN</w:t>
      </w:r>
      <w:r>
        <w:t xml:space="preserve">: Genes under-expressed in KRT19-positive [GeneID=3880] hepatocellular carcinoma (HCC).</w:t>
      </w:r>
      <w:r>
        <w:t xml:space="preserve"> </w:t>
      </w:r>
      <w:hyperlink r:id="rId57">
        <w:r>
          <w:rPr>
            <w:rStyle w:val="Hyperlink"/>
          </w:rPr>
          <w:t xml:space="preserve">[https://www.gsea-msigdb.org/gsea/msigdb/human/geneset/VILLANUEVA_LIVER_CANCER_KRT19_DN.html]</w:t>
        </w:r>
      </w:hyperlink>
    </w:p>
    <w:p>
      <w:pPr>
        <w:pStyle w:val="BodyText"/>
      </w:pPr>
      <w:r>
        <w:rPr>
          <w:bCs/>
          <w:b/>
        </w:rPr>
        <w:t xml:space="preserve">REACTOME_GLUTATHIONE_SYNTHESIS_AND_RECYCLING</w:t>
      </w:r>
      <w:r>
        <w:t xml:space="preserve">: Glutathione synthesis and recycling</w:t>
      </w:r>
      <w:r>
        <w:t xml:space="preserve"> </w:t>
      </w:r>
      <w:hyperlink r:id="rId58">
        <w:r>
          <w:rPr>
            <w:rStyle w:val="Hyperlink"/>
          </w:rPr>
          <w:t xml:space="preserve">[https://www.gsea-msigdb.org/gsea/msigdb/human/geneset/REACTOME_GLUTATHIONE_SYNTHESIS_AND_RECYCLING.html]</w:t>
        </w:r>
      </w:hyperlink>
    </w:p>
    <w:p>
      <w:pPr>
        <w:pStyle w:val="BodyText"/>
      </w:pPr>
      <w:r>
        <w:rPr>
          <w:bCs/>
          <w:b/>
        </w:rPr>
        <w:t xml:space="preserve">BOYAULT_LIVER_CANCER_SUBCLASS_G1_DN</w:t>
      </w:r>
      <w:r>
        <w:t xml:space="preserve">: Down-regulated genes in hepatocellular carcinoma (HCC) subclass G1, defined by unsupervised clustering</w:t>
      </w:r>
      <w:r>
        <w:t xml:space="preserve"> </w:t>
      </w:r>
      <w:hyperlink r:id="rId59">
        <w:r>
          <w:rPr>
            <w:rStyle w:val="Hyperlink"/>
          </w:rPr>
          <w:t xml:space="preserve">[https://www.gsea-msigdb.org/gsea/msigdb/human/geneset/BOYAULT_LIVER_CANCER_SUBCLASS_G1_DN.html]</w:t>
        </w:r>
      </w:hyperlink>
    </w:p>
    <w:p>
      <w:pPr>
        <w:pStyle w:val="BodyText"/>
      </w:pPr>
      <w:r>
        <w:rPr>
          <w:bCs/>
          <w:b/>
        </w:rPr>
        <w:t xml:space="preserve">KEGG_MEDICUS_REFERENCE_GLUTATHIONE_BIOSYNTHESIS</w:t>
      </w:r>
      <w:r>
        <w:t xml:space="preserve">: Pathway Definition from KEGG: Cys+Glu – (GCLC+GCLM) &gt;&gt; GSS -&gt; GSH – GPX -&gt; GSSG</w:t>
      </w:r>
      <w:r>
        <w:t xml:space="preserve"> </w:t>
      </w:r>
      <w:hyperlink r:id="rId60">
        <w:r>
          <w:rPr>
            <w:rStyle w:val="Hyperlink"/>
          </w:rPr>
          <w:t xml:space="preserve">[https://www.gsea-msigdb.org/gsea/msigdb/human/geneset/KEGG_MEDICUS_REFERENCE_GLUTATHIONE_BIOSYNTHESIS.html]</w:t>
        </w:r>
      </w:hyperlink>
    </w:p>
    <w:p>
      <w:pPr>
        <w:pStyle w:val="BodyText"/>
      </w:pPr>
      <w:r>
        <w:rPr>
          <w:bCs/>
          <w:b/>
        </w:rPr>
        <w:t xml:space="preserve">WP_ARYL_HYDROCARBON_RECEPTOR_PATHWAY_WP2586</w:t>
      </w:r>
      <w:r>
        <w:t xml:space="preserve">: Aryl hydrocarbon receptor pathway</w:t>
      </w:r>
      <w:r>
        <w:t xml:space="preserve"> </w:t>
      </w:r>
      <w:hyperlink r:id="rId61">
        <w:r>
          <w:rPr>
            <w:rStyle w:val="Hyperlink"/>
          </w:rPr>
          <w:t xml:space="preserve">[https://www.gsea-msigdb.org/gsea/msigdb/human/geneset/WP_ARYL_HYDROCARBON_RECEPTOR_PATHWAY_WP2586.html]</w:t>
        </w:r>
      </w:hyperlink>
    </w:p>
    <w:p>
      <w:pPr>
        <w:pStyle w:val="BodyText"/>
      </w:pPr>
      <w:r>
        <w:rPr>
          <w:bCs/>
          <w:b/>
        </w:rPr>
        <w:t xml:space="preserve">WP_OXIDATIVE_STRESS_RESPONSE</w:t>
      </w:r>
      <w:r>
        <w:t xml:space="preserve">: Oxidative stress response</w:t>
      </w:r>
      <w:r>
        <w:t xml:space="preserve"> </w:t>
      </w:r>
      <w:hyperlink r:id="rId62">
        <w:r>
          <w:rPr>
            <w:rStyle w:val="Hyperlink"/>
          </w:rPr>
          <w:t xml:space="preserve">[https://www.gsea-msigdb.org/gsea/msigdb/human/geneset/WP_OXIDATIVE_STRESS_RESPONSE.html]</w:t>
        </w:r>
      </w:hyperlink>
    </w:p>
    <w:p>
      <w:pPr>
        <w:pStyle w:val="BodyText"/>
      </w:pPr>
      <w:r>
        <w:rPr>
          <w:bCs/>
          <w:b/>
        </w:rPr>
        <w:t xml:space="preserve">WP_NUCLEAR_RECEPTORS_METAPATHWAY</w:t>
      </w:r>
      <w:r>
        <w:t xml:space="preserve">: Nuclear receptors meta-pathway</w:t>
      </w:r>
      <w:r>
        <w:t xml:space="preserve"> </w:t>
      </w:r>
      <w:hyperlink r:id="rId63">
        <w:r>
          <w:rPr>
            <w:rStyle w:val="Hyperlink"/>
          </w:rPr>
          <w:t xml:space="preserve">[https://www.gsea-msigdb.org/gsea/msigdb/human/geneset/WP_NUCLEAR_RECEPTORS_METAPATHWAY.html]</w:t>
        </w:r>
      </w:hyperlink>
    </w:p>
    <w:p>
      <w:pPr>
        <w:pStyle w:val="BodyText"/>
      </w:pPr>
      <w:r>
        <w:rPr>
          <w:bCs/>
          <w:b/>
        </w:rPr>
        <w:t xml:space="preserve">WP_TRANSSULFURATION_ONECARBON_METABOLISM_AND_RELATED_PATHWAYS</w:t>
      </w:r>
      <w:r>
        <w:t xml:space="preserve">: Trans-sulfuration, one-carbon metabolism and related pathways</w:t>
      </w:r>
      <w:r>
        <w:t xml:space="preserve"> </w:t>
      </w:r>
      <w:hyperlink r:id="rId64">
        <w:r>
          <w:rPr>
            <w:rStyle w:val="Hyperlink"/>
          </w:rPr>
          <w:t xml:space="preserve">[https://www.gsea-msigdb.org/gsea/msigdb/human/geneset/WP_TRANSSULFURATION_ONECARBON_METABOLISM_AND_RELATED_PATHWAYS.html]</w:t>
        </w:r>
      </w:hyperlink>
    </w:p>
    <w:p>
      <w:pPr>
        <w:pStyle w:val="BodyText"/>
      </w:pPr>
      <w:r>
        <w:rPr>
          <w:bCs/>
          <w:b/>
        </w:rPr>
        <w:t xml:space="preserve">REACTOME_NFE2L2_REGULATING_ANTI_OXIDANT_DETOXIFICATION_ENZYMES</w:t>
      </w:r>
      <w:r>
        <w:t xml:space="preserve">: NFE2L2 regulating anti-oxidant/detoxification enzymes</w:t>
      </w:r>
      <w:r>
        <w:t xml:space="preserve"> </w:t>
      </w:r>
      <w:hyperlink r:id="rId65">
        <w:r>
          <w:rPr>
            <w:rStyle w:val="Hyperlink"/>
          </w:rPr>
          <w:t xml:space="preserve">[https://www.gsea-msigdb.org/gsea/msigdb/human/geneset/REACTOME_NFE2L2_REGULATING_ANTI_OXIDANT_DETOXIFICATION_ENZYMES.html]</w:t>
        </w:r>
      </w:hyperlink>
    </w:p>
    <w:p>
      <w:pPr>
        <w:pStyle w:val="BodyText"/>
      </w:pPr>
      <w:r>
        <w:rPr>
          <w:bCs/>
          <w:b/>
        </w:rPr>
        <w:t xml:space="preserve">REACTOME_BIOLOGICAL_OXIDATIONS</w:t>
      </w:r>
      <w:r>
        <w:t xml:space="preserve">: Biological oxidations</w:t>
      </w:r>
      <w:r>
        <w:t xml:space="preserve"> </w:t>
      </w:r>
      <w:hyperlink r:id="rId66">
        <w:r>
          <w:rPr>
            <w:rStyle w:val="Hyperlink"/>
          </w:rPr>
          <w:t xml:space="preserve">[https://www.gsea-msigdb.org/gsea/msigdb/human/geneset/REACTOME_BIOLOGICAL_OXIDATIONS.html]</w:t>
        </w:r>
      </w:hyperlink>
    </w:p>
    <w:p>
      <w:pPr>
        <w:pStyle w:val="BodyText"/>
      </w:pPr>
      <w:r>
        <w:rPr>
          <w:bCs/>
          <w:b/>
        </w:rPr>
        <w:t xml:space="preserve">GARGALOVIC_RESPONSE_TO_OXIDIZED_PHOSPHOLIPIDS_YELLOW_UP</w:t>
      </w:r>
      <w:r>
        <w:t xml:space="preserve">: Genes from the yellow module which are up-regulated in HAEC cells (primary aortic endothelium) after exposure to the oxidized 1-palmitoyl-2-arachidonyl-sn-3-glycerophosphorylcholine (oxPAPC).</w:t>
      </w:r>
      <w:r>
        <w:t xml:space="preserve"> </w:t>
      </w:r>
      <w:hyperlink r:id="rId67">
        <w:r>
          <w:rPr>
            <w:rStyle w:val="Hyperlink"/>
          </w:rPr>
          <w:t xml:space="preserve">[https://www.gsea-msigdb.org/gsea/msigdb/human/geneset/GARGALOVIC_RESPONSE_TO_OXIDIZED_PHOSPHOLIPIDS_YELLOW_UP.html]</w:t>
        </w:r>
      </w:hyperlink>
    </w:p>
    <w:p>
      <w:pPr>
        <w:pStyle w:val="BodyText"/>
      </w:pPr>
      <w:r>
        <w:rPr>
          <w:bCs/>
          <w:b/>
        </w:rPr>
        <w:t xml:space="preserve">REACTOME_KEAP1_NFE2L2_PATHWAY</w:t>
      </w:r>
      <w:r>
        <w:t xml:space="preserve">: KEAP1-NFE2L2 pathway</w:t>
      </w:r>
      <w:r>
        <w:t xml:space="preserve"> </w:t>
      </w:r>
      <w:hyperlink r:id="rId68">
        <w:r>
          <w:rPr>
            <w:rStyle w:val="Hyperlink"/>
          </w:rPr>
          <w:t xml:space="preserve">[https://www.gsea-msigdb.org/gsea/msigdb/human/geneset/REACTOME_KEAP1_NFE2L2_PATHWAY.html]</w:t>
        </w:r>
      </w:hyperlink>
    </w:p>
    <w:p>
      <w:pPr>
        <w:pStyle w:val="BodyText"/>
      </w:pPr>
      <w:r>
        <w:rPr>
          <w:bCs/>
          <w:b/>
        </w:rPr>
        <w:t xml:space="preserve">REACTOME_CELLULAR_RESPONSE_TO_CHEMICAL_STRESS</w:t>
      </w:r>
      <w:r>
        <w:t xml:space="preserve">: Cellular response to chemical stress</w:t>
      </w:r>
      <w:r>
        <w:t xml:space="preserve"> </w:t>
      </w:r>
      <w:hyperlink r:id="rId69">
        <w:r>
          <w:rPr>
            <w:rStyle w:val="Hyperlink"/>
          </w:rPr>
          <w:t xml:space="preserve">[https://www.gsea-msigdb.org/gsea/msigdb/human/geneset/REACTOME_CELLULAR_RESPONSE_TO_CHEMICAL_STRESS.html]</w:t>
        </w:r>
      </w:hyperlink>
    </w:p>
    <w:p>
      <w:pPr>
        <w:pStyle w:val="BodyText"/>
      </w:pPr>
      <w:r>
        <w:rPr>
          <w:bCs/>
          <w:b/>
        </w:rPr>
        <w:t xml:space="preserve">WP_FERROPTOSIS</w:t>
      </w:r>
      <w:r>
        <w:t xml:space="preserve">: Ferroptosis</w:t>
      </w:r>
      <w:r>
        <w:t xml:space="preserve"> </w:t>
      </w:r>
      <w:hyperlink r:id="rId70">
        <w:r>
          <w:rPr>
            <w:rStyle w:val="Hyperlink"/>
          </w:rPr>
          <w:t xml:space="preserve">[https://www.gsea-msigdb.org/gsea/msigdb/human/geneset/WP_FERROPTOSIS.html]</w:t>
        </w:r>
      </w:hyperlink>
    </w:p>
    <w:p>
      <w:pPr>
        <w:pStyle w:val="BodyText"/>
      </w:pPr>
      <w:r>
        <w:rPr>
          <w:bCs/>
          <w:b/>
        </w:rPr>
        <w:t xml:space="preserve">REACTOME_PHASE_II_CONJUGATION_OF_COMPOUNDS</w:t>
      </w:r>
      <w:r>
        <w:t xml:space="preserve">: Phase II - Conjugation of compounds</w:t>
      </w:r>
      <w:r>
        <w:t xml:space="preserve"> </w:t>
      </w:r>
      <w:hyperlink r:id="rId71">
        <w:r>
          <w:rPr>
            <w:rStyle w:val="Hyperlink"/>
          </w:rPr>
          <w:t xml:space="preserve">[https://www.gsea-msigdb.org/gsea/msigdb/human/geneset/REACTOME_PHASE_II_CONJUGATION_OF_COMPOUNDS.html]</w:t>
        </w:r>
      </w:hyperlink>
    </w:p>
    <w:p>
      <w:pPr>
        <w:pStyle w:val="BodyText"/>
      </w:pPr>
      <w:r>
        <w:rPr>
          <w:bCs/>
          <w:b/>
        </w:rPr>
        <w:t xml:space="preserve">REACTOME_NUCLEAR_EVENTS_MEDIATED_BY_NFE2L2</w:t>
      </w:r>
      <w:r>
        <w:t xml:space="preserve">: Nuclear events mediated by NFE2L2</w:t>
      </w:r>
      <w:r>
        <w:t xml:space="preserve"> </w:t>
      </w:r>
      <w:hyperlink r:id="rId72">
        <w:r>
          <w:rPr>
            <w:rStyle w:val="Hyperlink"/>
          </w:rPr>
          <w:t xml:space="preserve">[https://www.gsea-msigdb.org/gsea/msigdb/human/geneset/REACTOME_NUCLEAR_EVENTS_MEDIATED_BY_NFE2L2.html]</w:t>
        </w:r>
      </w:hyperlink>
    </w:p>
    <w:p>
      <w:pPr>
        <w:pStyle w:val="BodyText"/>
      </w:pPr>
      <w:r>
        <w:rPr>
          <w:bCs/>
          <w:b/>
        </w:rPr>
        <w:t xml:space="preserve">REACTOME_CELLULAR_RESPONSES_TO_STIMULI</w:t>
      </w:r>
      <w:r>
        <w:t xml:space="preserve">: Cellular responses to stimuli</w:t>
      </w:r>
      <w:r>
        <w:t xml:space="preserve"> </w:t>
      </w:r>
      <w:hyperlink r:id="rId73">
        <w:r>
          <w:rPr>
            <w:rStyle w:val="Hyperlink"/>
          </w:rPr>
          <w:t xml:space="preserve">[https://www.gsea-msigdb.org/gsea/msigdb/human/geneset/REACTOME_CELLULAR_RESPONSES_TO_STIMULI.html]</w:t>
        </w:r>
      </w:hyperlink>
    </w:p>
    <w:p>
      <w:pPr>
        <w:pStyle w:val="BodyText"/>
      </w:pPr>
      <w:r>
        <w:rPr>
          <w:bCs/>
          <w:b/>
        </w:rPr>
        <w:t xml:space="preserve">BROWNE_HCMV_INFECTION_14HR_UP</w:t>
      </w:r>
      <w:r>
        <w:t xml:space="preserve">: Genes up-regulated in primary fibroblast cell culture after infection with HCMV (AD169 strain) at 14 h time point that were not up-regulated at the previous time point, 12 h.</w:t>
      </w:r>
      <w:r>
        <w:t xml:space="preserve"> </w:t>
      </w:r>
      <w:hyperlink r:id="rId74">
        <w:r>
          <w:rPr>
            <w:rStyle w:val="Hyperlink"/>
          </w:rPr>
          <w:t xml:space="preserve">[https://www.gsea-msigdb.org/gsea/msigdb/human/geneset/BROWNE_HCMV_INFECTION_14HR_UP.html]</w:t>
        </w:r>
      </w:hyperlink>
    </w:p>
    <w:p>
      <w:pPr>
        <w:pStyle w:val="BodyText"/>
      </w:pPr>
      <w:r>
        <w:rPr>
          <w:bCs/>
          <w:b/>
        </w:rPr>
        <w:t xml:space="preserve">WP_NRF2ARE_REGULATION</w:t>
      </w:r>
      <w:r>
        <w:t xml:space="preserve">: NRF2-ARE regulation</w:t>
      </w:r>
      <w:r>
        <w:t xml:space="preserve"> </w:t>
      </w:r>
      <w:hyperlink r:id="rId75">
        <w:r>
          <w:rPr>
            <w:rStyle w:val="Hyperlink"/>
          </w:rPr>
          <w:t xml:space="preserve">[https://www.gsea-msigdb.org/gsea/msigdb/human/geneset/WP_NRF2ARE_REGULATION.html]</w:t>
        </w:r>
      </w:hyperlink>
    </w:p>
    <w:p>
      <w:pPr>
        <w:pStyle w:val="BodyText"/>
      </w:pPr>
      <w:r>
        <w:rPr>
          <w:bCs/>
          <w:b/>
        </w:rPr>
        <w:t xml:space="preserve">IBRAHIM_NRF2_UP</w:t>
      </w:r>
      <w:r>
        <w:t xml:space="preserve">: Genes up-regulated in HEK293T cells overexpressing FLAG-NRF2</w:t>
      </w:r>
      <w:r>
        <w:t xml:space="preserve"> </w:t>
      </w:r>
      <w:hyperlink r:id="rId76">
        <w:r>
          <w:rPr>
            <w:rStyle w:val="Hyperlink"/>
          </w:rPr>
          <w:t xml:space="preserve">[https://www.gsea-msigdb.org/gsea/msigdb/human/geneset/IBRAHIM_NRF2_UP.html]</w:t>
        </w:r>
      </w:hyperlink>
    </w:p>
    <w:p>
      <w:pPr>
        <w:pStyle w:val="BodyText"/>
      </w:pPr>
      <w:r>
        <w:rPr>
          <w:bCs/>
          <w:b/>
        </w:rPr>
        <w:t xml:space="preserve">KRIEG_HYPOXIA_NOT_VIA_KDM3A</w:t>
      </w:r>
      <w:r>
        <w:t xml:space="preserve">: Genes induced under hypoxia independently of KDM3A [GeneID=55818] in RCC4 cells (renal carcinoma) expressing VHL [GeneID=7428].</w:t>
      </w:r>
      <w:r>
        <w:t xml:space="preserve"> </w:t>
      </w:r>
      <w:hyperlink r:id="rId77">
        <w:r>
          <w:rPr>
            <w:rStyle w:val="Hyperlink"/>
          </w:rPr>
          <w:t xml:space="preserve">[https://www.gsea-msigdb.org/gsea/msigdb/human/geneset/KRIEG_HYPOXIA_NOT_VIA_KDM3A.html]</w:t>
        </w:r>
      </w:hyperlink>
    </w:p>
    <w:p>
      <w:pPr>
        <w:pStyle w:val="BodyText"/>
      </w:pPr>
      <w:r>
        <w:rPr>
          <w:bCs/>
          <w:b/>
        </w:rPr>
        <w:t xml:space="preserve">KYNG_DNA_DAMAGE_BY_GAMMA_AND_UV_RADIATION</w:t>
      </w:r>
      <w:r>
        <w:t xml:space="preserve">: Gamma and UV responding genes.</w:t>
      </w:r>
      <w:r>
        <w:t xml:space="preserve"> </w:t>
      </w:r>
      <w:hyperlink r:id="rId78">
        <w:r>
          <w:rPr>
            <w:rStyle w:val="Hyperlink"/>
          </w:rPr>
          <w:t xml:space="preserve">[https://www.gsea-msigdb.org/gsea/msigdb/human/geneset/KYNG_DNA_DAMAGE_BY_GAMMA_AND_UV_RADIATION.html]</w:t>
        </w:r>
      </w:hyperlink>
    </w:p>
    <w:p>
      <w:pPr>
        <w:pStyle w:val="BodyText"/>
      </w:pPr>
      <w:r>
        <w:rPr>
          <w:bCs/>
          <w:b/>
        </w:rPr>
        <w:t xml:space="preserve">SINGH_NFE2L2_TARGETS</w:t>
      </w:r>
      <w:r>
        <w:t xml:space="preserve">: Selected electrophile and drug detoxication genes down-regulated in A549 and H460 cells (lung cancer) upon knockdown of NFE2L2 [GeneID=4780] by RNAi.</w:t>
      </w:r>
      <w:r>
        <w:t xml:space="preserve"> </w:t>
      </w:r>
      <w:hyperlink r:id="rId79">
        <w:r>
          <w:rPr>
            <w:rStyle w:val="Hyperlink"/>
          </w:rPr>
          <w:t xml:space="preserve">[https://www.gsea-msigdb.org/gsea/msigdb/human/geneset/SINGH_NFE2L2_TARGETS.html]</w:t>
        </w:r>
      </w:hyperlink>
    </w:p>
    <w:p>
      <w:pPr>
        <w:pStyle w:val="BodyText"/>
      </w:pPr>
      <w:r>
        <w:rPr>
          <w:bCs/>
          <w:b/>
        </w:rPr>
        <w:t xml:space="preserve">BENPORATH_MYC_MAX_TARGETS</w:t>
      </w:r>
      <w:r>
        <w:t xml:space="preserve">: Set</w:t>
      </w:r>
      <w:r>
        <w:t xml:space="preserve"> </w:t>
      </w:r>
      <w:r>
        <w:t xml:space="preserve">‘</w:t>
      </w:r>
      <w:r>
        <w:t xml:space="preserve">Myc targets2</w:t>
      </w:r>
      <w:r>
        <w:t xml:space="preserve">’</w:t>
      </w:r>
      <w:r>
        <w:t xml:space="preserve">: targets of c-Myc [GeneID=4609] and Max [GeneID=4149] identified by ChIP on chip in a Burkitt’s lymphoma cell line; overlap set.</w:t>
      </w:r>
      <w:r>
        <w:t xml:space="preserve"> </w:t>
      </w:r>
      <w:hyperlink r:id="rId80">
        <w:r>
          <w:rPr>
            <w:rStyle w:val="Hyperlink"/>
          </w:rPr>
          <w:t xml:space="preserve">[https://www.gsea-msigdb.org/gsea/msigdb/human/geneset/BENPORATH_MYC_MAX_TARGETS.html]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81">
        <w:r>
          <w:rPr>
            <w:rStyle w:val="Hyperlink"/>
          </w:rPr>
          <w:t xml:space="preserve">[https://www.gsea-msigdb.org/gsea/msigdb/human/geneset/JINESH_BLEBBISHIELD_TRANSFORMED_STEM_CELL_SPHERES_UP.html]</w:t>
        </w:r>
      </w:hyperlink>
    </w:p>
    <w:p>
      <w:pPr>
        <w:pStyle w:val="BodyText"/>
      </w:pPr>
      <w:r>
        <w:rPr>
          <w:bCs/>
          <w:b/>
        </w:rPr>
        <w:t xml:space="preserve">DANG_BOUND_BY_MYC</w:t>
      </w:r>
      <w:r>
        <w:t xml:space="preserve">: Genes whose promoters are bound by MYC [GeneID=4609], according to MYC Target Gene Database.</w:t>
      </w:r>
      <w:r>
        <w:t xml:space="preserve"> </w:t>
      </w:r>
      <w:hyperlink r:id="rId82">
        <w:r>
          <w:rPr>
            <w:rStyle w:val="Hyperlink"/>
          </w:rPr>
          <w:t xml:space="preserve">[https://www.gsea-msigdb.org/gsea/msigdb/human/geneset/DANG_BOUND_BY_MYC.html]</w:t>
        </w:r>
      </w:hyperlink>
    </w:p>
    <w:p>
      <w:pPr>
        <w:pStyle w:val="BodyText"/>
      </w:pPr>
      <w:r>
        <w:rPr>
          <w:bCs/>
          <w:b/>
        </w:rPr>
        <w:t xml:space="preserve">ZWANG_CLASS_1_TRANSIENTLY_INDUCED_BY_EGF</w:t>
      </w:r>
      <w:r>
        <w:t xml:space="preserve">: Class I of genes transiently induced by EGF [GeneID =1950] in 184A1 cells (mammary epithelium).</w:t>
      </w:r>
      <w:r>
        <w:t xml:space="preserve"> </w:t>
      </w:r>
      <w:hyperlink r:id="rId83">
        <w:r>
          <w:rPr>
            <w:rStyle w:val="Hyperlink"/>
          </w:rPr>
          <w:t xml:space="preserve">[https://www.gsea-msigdb.org/gsea/msigdb/human/geneset/ZWANG_CLASS_1_TRANSIENTLY_INDUCED_BY_EGF.html]</w:t>
        </w:r>
      </w:hyperlink>
    </w:p>
    <w:p>
      <w:pPr>
        <w:pStyle w:val="BodyText"/>
      </w:pPr>
      <w:r>
        <w:rPr>
          <w:bCs/>
          <w:b/>
        </w:rPr>
        <w:t xml:space="preserve">FISCHER_G1_S_CELL_CYCLE</w:t>
      </w:r>
      <w:r>
        <w:t xml:space="preserve">: Cell cycle genes with peak expression in G1/S check point.</w:t>
      </w:r>
      <w:r>
        <w:t xml:space="preserve"> </w:t>
      </w:r>
      <w:hyperlink r:id="rId84">
        <w:r>
          <w:rPr>
            <w:rStyle w:val="Hyperlink"/>
          </w:rPr>
          <w:t xml:space="preserve">[https://www.gsea-msigdb.org/gsea/msigdb/human/geneset/FISCHER_G1_S_CELL_CYCLE.html]</w:t>
        </w:r>
      </w:hyperlink>
    </w:p>
    <w:p>
      <w:pPr>
        <w:pStyle w:val="BodyText"/>
      </w:pPr>
      <w:r>
        <w:rPr>
          <w:bCs/>
          <w:b/>
        </w:rPr>
        <w:t xml:space="preserve">ZHANG_RESPONSE_TO_IKK_INHIBITOR_AND_TNF_UP</w:t>
      </w:r>
      <w:r>
        <w:t xml:space="preserve">: Genes up-regulated in BxPC3 cells (pancreatic cancer) after treatment with TNF [GeneID=7124] or IKI-1, an inhibitor of IkappaB kinase (IKK).</w:t>
      </w:r>
      <w:r>
        <w:t xml:space="preserve"> </w:t>
      </w:r>
      <w:hyperlink r:id="rId85">
        <w:r>
          <w:rPr>
            <w:rStyle w:val="Hyperlink"/>
          </w:rPr>
          <w:t xml:space="preserve">[https://www.gsea-msigdb.org/gsea/msigdb/human/geneset/ZHANG_RESPONSE_TO_IKK_INHIBITOR_AND_TNF_UP.html]</w:t>
        </w:r>
      </w:hyperlink>
    </w:p>
    <w:p>
      <w:pPr>
        <w:pStyle w:val="BodyText"/>
      </w:pPr>
      <w:r>
        <w:rPr>
          <w:bCs/>
          <w:b/>
        </w:rPr>
        <w:t xml:space="preserve">OSWALD_HEMATOPOIETIC_STEM_CELL_IN_COLLAGEN_GEL_UP</w:t>
      </w:r>
      <w:r>
        <w:t xml:space="preserve">: Genes up-regulated in hematopoietic stem cells (HSC, CD34+ [GeneID=947]) cultured in a three-dimentional collagen gel compared to the cells grown in suspension.</w:t>
      </w:r>
      <w:r>
        <w:t xml:space="preserve"> </w:t>
      </w:r>
      <w:hyperlink r:id="rId86">
        <w:r>
          <w:rPr>
            <w:rStyle w:val="Hyperlink"/>
          </w:rPr>
          <w:t xml:space="preserve">[https://www.gsea-msigdb.org/gsea/msigdb/human/geneset/OSWALD_HEMATOPOIETIC_STEM_CELL_IN_COLLAGEN_GEL_UP.html]</w:t>
        </w:r>
      </w:hyperlink>
    </w:p>
    <w:p>
      <w:pPr>
        <w:pStyle w:val="BodyText"/>
      </w:pPr>
      <w:r>
        <w:rPr>
          <w:bCs/>
          <w:b/>
        </w:rPr>
        <w:t xml:space="preserve">ITO_PTTG1_TARGETS_UP</w:t>
      </w:r>
      <w:r>
        <w:t xml:space="preserve">: Genes up-regulated in HSA/c and KYSE140 cells (esophageal squamous cell carcinoma, ESCC) after knockdown of PTTG1 [GeneID=9232] by RNAi.</w:t>
      </w:r>
      <w:r>
        <w:t xml:space="preserve"> </w:t>
      </w:r>
      <w:hyperlink r:id="rId87">
        <w:r>
          <w:rPr>
            <w:rStyle w:val="Hyperlink"/>
          </w:rPr>
          <w:t xml:space="preserve">[https://www.gsea-msigdb.org/gsea/msigdb/human/geneset/ITO_PTTG1_TARGETS_UP.html]</w:t>
        </w:r>
      </w:hyperlink>
    </w:p>
    <w:bookmarkEnd w:id="88"/>
    <w:bookmarkEnd w:id="89"/>
    <w:bookmarkStart w:id="90" w:name="gene-descriptions"/>
    <w:p>
      <w:pPr>
        <w:pStyle w:val="Heading1"/>
      </w:pPr>
      <w:r>
        <w:t xml:space="preserve">7. Gene Descriptions</w:t>
      </w:r>
    </w:p>
    <w:p>
      <w:pPr>
        <w:pStyle w:val="FirstParagraph"/>
      </w:pPr>
      <w:r>
        <w:rPr>
          <w:bCs/>
          <w:b/>
        </w:rPr>
        <w:t xml:space="preserve">NCBI Gene Summary</w:t>
      </w:r>
      <w:r>
        <w:t xml:space="preserve">: Glutamate-cysteine ligase, also known as gamma-glutamylcysteine synthetase is the first rate-limiting enzyme of glutathione synthesis. The enzyme consists of two subunits, a heavy catalytic subunit and a light regulatory subunit. This locus encodes the catalytic subunit, while the regulatory subunit is derived from a different gene located on chromosome 1p22-p21. Mutations at this locus have been associated with hemolytic anemia due to deficiency of gamma-glutamylcysteine synthetase and susceptibility to myocardial infarction.[provided by RefSeq, Oct 2010]</w:t>
      </w:r>
    </w:p>
    <w:p>
      <w:pPr>
        <w:pStyle w:val="BodyText"/>
      </w:pPr>
      <w:r>
        <w:rPr>
          <w:bCs/>
          <w:b/>
        </w:rPr>
        <w:t xml:space="preserve">GeneCards Summary</w:t>
      </w:r>
      <w:r>
        <w:t xml:space="preserve">: GCLC (Glutamate-Cysteine Ligase Catalytic Subunit) is a Protein Coding gene. Diseases associated with GCLC include Gamma-Glutamylcysteine Synthetase Deficiency, Hemolytic Anemia Due To and Myocardial Infarction. Among its related pathways are Glutathione conjugation and Nuclear events mediated by NFE2L2. Gene Ontology (GO) annotations related to this gene include protein heterodimerization activity and obsolete coenzyme binding.</w:t>
      </w:r>
    </w:p>
    <w:p>
      <w:pPr>
        <w:pStyle w:val="BodyText"/>
      </w:pPr>
      <w:r>
        <w:rPr>
          <w:bCs/>
          <w:b/>
        </w:rPr>
        <w:t xml:space="preserve">UniProtKB/Swiss-Prot Summary</w:t>
      </w:r>
      <w:r>
        <w:t xml:space="preserve">: Catalyzes the ATP-dependent ligation of L-glutamate and L-cysteine and participates in the first and rate-limiting step in glutathione biosynthesis.</w:t>
      </w:r>
    </w:p>
    <w:bookmarkEnd w:id="90"/>
    <w:bookmarkStart w:id="92" w:name="cellular-location-of-gene-product"/>
    <w:p>
      <w:pPr>
        <w:pStyle w:val="Heading1"/>
      </w:pPr>
      <w:r>
        <w:t xml:space="preserve">8. Cellular Location of Gene Product</w:t>
      </w:r>
    </w:p>
    <w:p>
      <w:pPr>
        <w:pStyle w:val="FirstParagraph"/>
      </w:pPr>
      <w:r>
        <w:t xml:space="preserve">Cytoplasmic expression at variable levels. Mainly localized to the nucleoplasm. In addition localized to the nucleoli and cytosol. Predicted location: Intracellular [</w:t>
      </w:r>
      <w:hyperlink r:id="rId91">
        <w:r>
          <w:rPr>
            <w:rStyle w:val="Hyperlink"/>
          </w:rPr>
          <w:t xml:space="preserve">https://www.proteinatlas.org/ENSG00000001084/subcellular</w:t>
        </w:r>
      </w:hyperlink>
      <w:r>
        <w:t xml:space="preserve">]</w:t>
      </w:r>
    </w:p>
    <w:bookmarkEnd w:id="92"/>
    <w:bookmarkStart w:id="94" w:name="mechanistic-information"/>
    <w:p>
      <w:pPr>
        <w:pStyle w:val="Heading1"/>
      </w:pPr>
      <w:r>
        <w:t xml:space="preserve">9. Mechanistic Information</w:t>
      </w:r>
    </w:p>
    <w:p>
      <w:pPr>
        <w:numPr>
          <w:ilvl w:val="0"/>
          <w:numId w:val="1008"/>
        </w:numPr>
        <w:pStyle w:val="Compact"/>
      </w:pPr>
      <w:r>
        <w:t xml:space="preserve">Elevated gene expression of GCLC in liver-metastatic breast cancer cells supports enhanced de novo GSH synthesis and aids in mitigating ROS-mediated damage. Depletion of GCLC significantly reduces the formation of liver metastases and impairs early steps of the metastatic cascade, leading to decreased circulating tumor cells and metastasis to the liver and lungs [PMID: 39053265].</w:t>
      </w:r>
    </w:p>
    <w:p>
      <w:pPr>
        <w:numPr>
          <w:ilvl w:val="0"/>
          <w:numId w:val="1008"/>
        </w:numPr>
        <w:pStyle w:val="Compact"/>
      </w:pPr>
      <w:r>
        <w:t xml:space="preserve">Male rats exposed to 17alpha-ethinylestradiol experienced increased oxidative stress in the liver, activating the hepatic Nrf2/Gclm/Gclc pathway to regulate this stress. This activation is part of estrogen cholestasis (EC)-induced liver inflammation and apoptosis [PMID: 33775691].</w:t>
      </w:r>
    </w:p>
    <w:p>
      <w:pPr>
        <w:numPr>
          <w:ilvl w:val="0"/>
          <w:numId w:val="1008"/>
        </w:numPr>
        <w:pStyle w:val="Compact"/>
      </w:pPr>
      <w:r>
        <w:t xml:space="preserve">Chronic cholestatic liver injury via bile duct ligation (BDL) or lithocholic acid (LCA) treatment suppressed Gclc mRNA expression in the liver by enhancing c-Myc, which led to reduced Nrf2 expression and binding to the antioxidant response element (ARE) [PMID: 25226451].</w:t>
      </w:r>
    </w:p>
    <w:p>
      <w:pPr>
        <w:numPr>
          <w:ilvl w:val="0"/>
          <w:numId w:val="1008"/>
        </w:numPr>
        <w:pStyle w:val="Compact"/>
      </w:pPr>
      <w:r>
        <w:t xml:space="preserve">Nrf2 signaling plays a key role in controlling oxidative stress and inflammation. During oxidative stress, Nrf2 dissociates from Keap1 and translocates into the nucleus, where it activates ARE-mediated gene transcription and induces the coordinate transcription of ARE-regulated genes, including c-glutamylcysteine synthetase (cGCS), mediating cytoprotective response to oxidative stress [PMID: 33862553, PMID: 18601945, PMID: 23822105]. Mice lacking Nrf2 exhibit lower GCS and GSH levels and are more susceptible to acetaminophen (APAP)-induced liver injury [PMID: 11118612, PMID: 11287661].</w:t>
      </w:r>
    </w:p>
    <w:bookmarkStart w:id="93" w:name="summary"/>
    <w:p>
      <w:pPr>
        <w:pStyle w:val="Heading2"/>
      </w:pPr>
      <w:r>
        <w:t xml:space="preserve">Summary</w:t>
      </w:r>
    </w:p>
    <w:p>
      <w:pPr>
        <w:pStyle w:val="FirstParagraph"/>
      </w:pPr>
      <w:r>
        <w:t xml:space="preserve">GCLC encodes the catalytic subunit of glutamate-cysteine ligase, which catalyzes the first and rate-limiting step in glutathione (GSH) synthesis by forming a gamma-carboxyl linkage between glutamate and cysteine [CS: 9]. This ATP-dependent reaction is essential for producing GSH, a major cellular antioxidant that neutralizes reactive oxygen species (ROS) and protects cells from oxidative damage [CS: 9].</w:t>
      </w:r>
    </w:p>
    <w:p>
      <w:pPr>
        <w:pStyle w:val="BodyText"/>
      </w:pPr>
      <w:r>
        <w:t xml:space="preserve">Under conditions of oxidative stress, including toxic insults (CCl4, acetaminophen), cholestasis, or inflammation, GCLC expression is typically upregulated through the Nrf2 pathway [CS: 8]. When oxidative stress occurs, Nrf2 dissociates from Keap1, translocates to the nucleus, and binds to antioxidant response elements (ARE) in the GCLC promoter, increasing its transcription [CS: 9]. This increased GCLC expression leads to enhanced GSH synthesis, helping to neutralize ROS and prevent cellular damage [CS: 9].</w:t>
      </w:r>
    </w:p>
    <w:bookmarkEnd w:id="93"/>
    <w:bookmarkEnd w:id="94"/>
    <w:bookmarkStart w:id="95" w:name="upstream-regulators"/>
    <w:p>
      <w:pPr>
        <w:pStyle w:val="Heading1"/>
      </w:pPr>
      <w:r>
        <w:t xml:space="preserve">10. Upstream Regulators</w:t>
      </w:r>
    </w:p>
    <w:p>
      <w:pPr>
        <w:numPr>
          <w:ilvl w:val="0"/>
          <w:numId w:val="1009"/>
        </w:numPr>
        <w:pStyle w:val="Compact"/>
      </w:pPr>
      <w:r>
        <w:t xml:space="preserve">TGFbeta1 suppressed the expression of GCLC and lowered GSH levels in rat hepatic stellate cells (HSCs), which facilitated fibrogenesis [PMID: 18601945, PMID: 22995213].</w:t>
      </w:r>
    </w:p>
    <w:p>
      <w:pPr>
        <w:numPr>
          <w:ilvl w:val="0"/>
          <w:numId w:val="1009"/>
        </w:numPr>
        <w:pStyle w:val="Compact"/>
      </w:pPr>
      <w:r>
        <w:t xml:space="preserve">Transcription factor Nrf2, possibly in complexes with other Jun or Maf proteins, was responsible for trans-activating the human GCLC promoter via binding to ARE4 in response to beta-NF, pyrrolidine dithiocarbamate, and tert-Butylhydroquinone (TBH). Nrf1 and Nrf2 regulate rat GCLC promoter by modulating the expression of key AP-1 and NFkappaB family members. NFkappaB can act on a consensus element present at −378 of the rat GCLC gene as well as induce the expression of AP-1 family member c-Jun to trans-activate AP-1 sites. Thus, by acting directly and indirectly via inducing AP-1, NFkappaB is important in the expression of rat GCLC [PMID: 18601945, PMID: 15988009, PMID: 22995213]. In hepatocellular carcinoma (HCC), there is increased binding to anti-oxidant response, AP-1 and NFkappaB, three cis-acting elements in the 5’-flanking region of the human GCS-HS important for its transcriptional regulation [PMID: 11099488].</w:t>
      </w:r>
    </w:p>
    <w:p>
      <w:pPr>
        <w:numPr>
          <w:ilvl w:val="0"/>
          <w:numId w:val="1009"/>
        </w:numPr>
        <w:pStyle w:val="Compact"/>
      </w:pPr>
      <w:r>
        <w:t xml:space="preserve">USF1 and USF2 can bind to E-box motif and inhibit the promoter activity of GCLC [PMID: 18601945, PMID: 16198230].</w:t>
      </w:r>
    </w:p>
    <w:p>
      <w:pPr>
        <w:numPr>
          <w:ilvl w:val="0"/>
          <w:numId w:val="1009"/>
        </w:numPr>
        <w:pStyle w:val="Compact"/>
      </w:pPr>
      <w:r>
        <w:t xml:space="preserve">Selective transcriptional induction of GCLC occurred when cultured rat hepatocytes were treated with insulin or hydrocortisone [PMID: 22995213, PMID: 18601945].</w:t>
      </w:r>
    </w:p>
    <w:p>
      <w:pPr>
        <w:numPr>
          <w:ilvl w:val="0"/>
          <w:numId w:val="1009"/>
        </w:numPr>
        <w:pStyle w:val="Compact"/>
      </w:pPr>
      <w:r>
        <w:t xml:space="preserve">ACTL6A is found to be critical for regulating the glutathione (GSH) metabolism pathway because it upregulates gamma-glutamyl-cysteine ligase catalytic subunit (GCLC) expression, thereby reducing reactive oxygen species (ROS) levels and inhibiting ferroptosis [PMID: 37443154].</w:t>
      </w:r>
    </w:p>
    <w:p>
      <w:pPr>
        <w:numPr>
          <w:ilvl w:val="0"/>
          <w:numId w:val="1009"/>
        </w:numPr>
        <w:pStyle w:val="Compact"/>
      </w:pPr>
      <w:r>
        <w:t xml:space="preserve">Adrenomedullin (AM) induces concentration-dependent expression of the catalytic subunit of gamma-GCL (gamma-GCLC) at the mRNA and protein levels through the activation of the gamma-GCLC promoter fragment sequence from -597 to -320 [PMID: 16322067].</w:t>
      </w:r>
    </w:p>
    <w:p>
      <w:pPr>
        <w:numPr>
          <w:ilvl w:val="0"/>
          <w:numId w:val="1009"/>
        </w:numPr>
        <w:pStyle w:val="Compact"/>
      </w:pPr>
      <w:r>
        <w:t xml:space="preserve">Gene expression of GCLC is attenuated by the MYC-induced microRNA miR-18a. Inhibition of miR-18a</w:t>
      </w:r>
      <w:r>
        <w:t xml:space="preserve"> </w:t>
      </w:r>
      <w:r>
        <w:rPr>
          <w:iCs/>
          <w:i/>
        </w:rPr>
        <w:t xml:space="preserve">in vivo</w:t>
      </w:r>
      <w:r>
        <w:t xml:space="preserve"> </w:t>
      </w:r>
      <w:r>
        <w:t xml:space="preserve">leads to increased GCLC protein expression and GSH abundance in tumor tissue [PMID: 28219903].</w:t>
      </w:r>
    </w:p>
    <w:p>
      <w:pPr>
        <w:numPr>
          <w:ilvl w:val="0"/>
          <w:numId w:val="1009"/>
        </w:numPr>
        <w:pStyle w:val="Compact"/>
      </w:pPr>
      <w:r>
        <w:t xml:space="preserve">miR-433 directly targets GCLC gene promoting functional consequences in endothelial physiology and fibrotic processes by decreasing GSH levels [PMID: 25353619].</w:t>
      </w:r>
    </w:p>
    <w:bookmarkEnd w:id="95"/>
    <w:bookmarkStart w:id="98"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liver (tissue enhanced) [</w:t>
      </w:r>
      <w:hyperlink r:id="rId96">
        <w:r>
          <w:rPr>
            <w:rStyle w:val="Hyperlink"/>
          </w:rPr>
          <w:t xml:space="preserve">https://www.proteinatlas.org/ENSG00000001084/tissue</w:t>
        </w:r>
      </w:hyperlink>
      <w:r>
        <w:t xml:space="preserve">]</w:t>
      </w:r>
    </w:p>
    <w:p>
      <w:pPr>
        <w:pStyle w:val="BodyText"/>
      </w:pPr>
      <w:r>
        <w:rPr>
          <w:bCs/>
          <w:b/>
        </w:rPr>
        <w:t xml:space="preserve">Cell type enhanced</w:t>
      </w:r>
      <w:r>
        <w:t xml:space="preserve">: low cell type specificity [</w:t>
      </w:r>
      <w:hyperlink r:id="rId97">
        <w:r>
          <w:rPr>
            <w:rStyle w:val="Hyperlink"/>
          </w:rPr>
          <w:t xml:space="preserve">https://www.proteinatlas.org/ENSG00000001084/single+cell+type</w:t>
        </w:r>
      </w:hyperlink>
      <w:r>
        <w:t xml:space="preserve">]</w:t>
      </w:r>
    </w:p>
    <w:bookmarkEnd w:id="98"/>
    <w:bookmarkStart w:id="99" w:name="role-of-gene-in-other-tissues"/>
    <w:p>
      <w:pPr>
        <w:pStyle w:val="Heading1"/>
      </w:pPr>
      <w:r>
        <w:t xml:space="preserve">12. Role of Gene in Other Tissues</w:t>
      </w:r>
    </w:p>
    <w:p>
      <w:pPr>
        <w:numPr>
          <w:ilvl w:val="0"/>
          <w:numId w:val="1010"/>
        </w:numPr>
        <w:pStyle w:val="Compact"/>
      </w:pPr>
      <w:r>
        <w:t xml:space="preserve">GCLC was overexpressed in lung adenocarcinoma (LUAD), and linked with poor prognostic outcomes. In addition, high GCLC expression predicted better responses to anti-PD-L1 and anti-CTLA-4 treatment [PMID: 38750474].</w:t>
      </w:r>
    </w:p>
    <w:p>
      <w:pPr>
        <w:numPr>
          <w:ilvl w:val="0"/>
          <w:numId w:val="1010"/>
        </w:numPr>
        <w:pStyle w:val="Compact"/>
      </w:pPr>
      <w:r>
        <w:t xml:space="preserve">DNA methylation of the GCLC promoter was significantly increased in patients with COPD (current-smoker [CS-COPD]), subjects with normal pulmonary function (current-smoker [CS-NS]) and ex-smokers [ES-COPD]) compared to subjects with normal pulmonary function and never-smokers [NC]. In COPD GCLC mRNA expression was downregulated in lung tissue and GSH levels decreased in plasma due to hypermethylation of the GCLC promoter. Cigarette smoke-induced hypermethylation of the GCLC promoter is related to the initiation and progression of COPD [PMID: 26087411]. Variants in the glutamate-cysteine-ligase gene (GCLC) are associated with cystic fibrosis lung disease [PMID: 16690975].</w:t>
      </w:r>
    </w:p>
    <w:p>
      <w:pPr>
        <w:numPr>
          <w:ilvl w:val="0"/>
          <w:numId w:val="1010"/>
        </w:numPr>
        <w:pStyle w:val="Compact"/>
      </w:pPr>
      <w:r>
        <w:t xml:space="preserve">In Rag2(-/-)gammac(-/-) mice melanoma cells with lower GCLC expression depicted a dramatically stronger tumor growth. Prognostic significance of GCLC protein expression was found in patients with advanced malignant melanoma. High tumor immunoreactivity for GCLC was a significant determinant for better 5-year overall survival [PMID: 22249522].</w:t>
      </w:r>
    </w:p>
    <w:p>
      <w:pPr>
        <w:numPr>
          <w:ilvl w:val="0"/>
          <w:numId w:val="1010"/>
        </w:numPr>
        <w:pStyle w:val="Compact"/>
      </w:pPr>
      <w:r>
        <w:t xml:space="preserve">GCLC gene was overexpressed in breast, lung, prostate and renal cancers [PMID: 31293636].</w:t>
      </w:r>
    </w:p>
    <w:p>
      <w:pPr>
        <w:numPr>
          <w:ilvl w:val="0"/>
          <w:numId w:val="1010"/>
        </w:numPr>
        <w:pStyle w:val="Compact"/>
      </w:pPr>
      <w:r>
        <w:t xml:space="preserve">GCLC mRNA expression was down-regulated in ovarian tumor compared to normal samples [PMID: 22452920].</w:t>
      </w:r>
    </w:p>
    <w:p>
      <w:pPr>
        <w:numPr>
          <w:ilvl w:val="0"/>
          <w:numId w:val="1010"/>
        </w:numPr>
        <w:pStyle w:val="Compact"/>
      </w:pPr>
      <w:r>
        <w:t xml:space="preserve">A missense mutation in the heavy subunit of gamma-glutamylcysteine synthetase gene causes hemolytic anemia [PMID: 10733484, PMID: 18024385].</w:t>
      </w:r>
    </w:p>
    <w:p>
      <w:pPr>
        <w:numPr>
          <w:ilvl w:val="0"/>
          <w:numId w:val="1010"/>
        </w:numPr>
        <w:pStyle w:val="Compact"/>
      </w:pPr>
      <w:r>
        <w:t xml:space="preserve">The -129T polymorphism of the GCLC gene may suppress the GCLC gene induction response to an oxidant, and it is implicated in coronary endothelial vasomotor dysfunction and myocardial infarction (MI) [PMID: 12598062].</w:t>
      </w:r>
    </w:p>
    <w:bookmarkEnd w:id="99"/>
    <w:bookmarkStart w:id="102" w:name="X6a418851aade75f9472f140bae959c91bd4b668"/>
    <w:p>
      <w:pPr>
        <w:pStyle w:val="Heading1"/>
      </w:pPr>
      <w:r>
        <w:t xml:space="preserve">13. Chemicals Known to Elicit Transcriptional Response of Biomarker in Tissue of Interest</w:t>
      </w:r>
    </w:p>
    <w:bookmarkStart w:id="100" w:name="X600d33a2660f152ae9c796beb655bf7abc2ba5b"/>
    <w:p>
      <w:pPr>
        <w:pStyle w:val="Heading2"/>
      </w:pPr>
      <w:r>
        <w:t xml:space="preserve">Compounds that increase expression of the gene:</w:t>
      </w:r>
    </w:p>
    <w:p>
      <w:pPr>
        <w:numPr>
          <w:ilvl w:val="0"/>
          <w:numId w:val="1011"/>
        </w:numPr>
        <w:pStyle w:val="Compact"/>
      </w:pPr>
      <w:r>
        <w:t xml:space="preserve">(-)-epigallocatechin 3-gallate [PMID: 25585349]</w:t>
      </w:r>
    </w:p>
    <w:p>
      <w:pPr>
        <w:numPr>
          <w:ilvl w:val="0"/>
          <w:numId w:val="1011"/>
        </w:numPr>
        <w:pStyle w:val="Compact"/>
      </w:pPr>
      <w:r>
        <w:t xml:space="preserve">(2,4,5-trichlorophenoxy)acetic acid [PMID: 16426233, PMID: 10377250, PMID: 16426233]</w:t>
      </w:r>
    </w:p>
    <w:p>
      <w:pPr>
        <w:numPr>
          <w:ilvl w:val="0"/>
          <w:numId w:val="1011"/>
        </w:numPr>
        <w:pStyle w:val="Compact"/>
      </w:pPr>
      <w:r>
        <w:t xml:space="preserve">(R)-lipoic acid [PMID: 26365678]</w:t>
      </w:r>
    </w:p>
    <w:p>
      <w:pPr>
        <w:numPr>
          <w:ilvl w:val="0"/>
          <w:numId w:val="1011"/>
        </w:numPr>
        <w:pStyle w:val="Compact"/>
      </w:pPr>
      <w:r>
        <w:t xml:space="preserve">1,2-dichloroethane [PMID: 37150348]</w:t>
      </w:r>
    </w:p>
    <w:p>
      <w:pPr>
        <w:numPr>
          <w:ilvl w:val="0"/>
          <w:numId w:val="1011"/>
        </w:numPr>
        <w:pStyle w:val="Compact"/>
      </w:pPr>
      <w:r>
        <w:t xml:space="preserve">1,3-dichloropropan-2-ol [PMID: 26143167]</w:t>
      </w:r>
    </w:p>
    <w:p>
      <w:pPr>
        <w:numPr>
          <w:ilvl w:val="0"/>
          <w:numId w:val="1011"/>
        </w:numPr>
        <w:pStyle w:val="Compact"/>
      </w:pPr>
      <w:r>
        <w:t xml:space="preserve">1-bromopropane [PMID: 20211940]</w:t>
      </w:r>
    </w:p>
    <w:p>
      <w:pPr>
        <w:numPr>
          <w:ilvl w:val="0"/>
          <w:numId w:val="1011"/>
        </w:numPr>
        <w:pStyle w:val="Compact"/>
      </w:pPr>
      <w:r>
        <w:t xml:space="preserve">17beta-estradiol [PMID: 32145629]</w:t>
      </w:r>
    </w:p>
    <w:p>
      <w:pPr>
        <w:numPr>
          <w:ilvl w:val="0"/>
          <w:numId w:val="1011"/>
        </w:numPr>
        <w:pStyle w:val="Compact"/>
      </w:pPr>
      <w:r>
        <w:t xml:space="preserve">1H-pyrazole [PMID: 17945193]</w:t>
      </w:r>
    </w:p>
    <w:p>
      <w:pPr>
        <w:numPr>
          <w:ilvl w:val="0"/>
          <w:numId w:val="1011"/>
        </w:numPr>
        <w:pStyle w:val="Compact"/>
      </w:pPr>
      <w:r>
        <w:t xml:space="preserve">2-(chloromethyl)pyridine [PMID: 26198647]</w:t>
      </w:r>
    </w:p>
    <w:p>
      <w:pPr>
        <w:numPr>
          <w:ilvl w:val="0"/>
          <w:numId w:val="1011"/>
        </w:numPr>
        <w:pStyle w:val="Compact"/>
      </w:pPr>
      <w:r>
        <w:t xml:space="preserve">4,4’-methylene-bis-(2-chloroaniline) [PMID: 26198647]</w:t>
      </w:r>
    </w:p>
    <w:p>
      <w:pPr>
        <w:numPr>
          <w:ilvl w:val="0"/>
          <w:numId w:val="1011"/>
        </w:numPr>
        <w:pStyle w:val="Compact"/>
      </w:pPr>
      <w:r>
        <w:t xml:space="preserve">4-nitro-1,2-phenylenediamine [PMID: 26198647]</w:t>
      </w:r>
    </w:p>
    <w:p>
      <w:pPr>
        <w:numPr>
          <w:ilvl w:val="0"/>
          <w:numId w:val="1011"/>
        </w:numPr>
        <w:pStyle w:val="Compact"/>
      </w:pPr>
      <w:r>
        <w:t xml:space="preserve">Augmentin [PMID: 34767876]</w:t>
      </w:r>
    </w:p>
    <w:p>
      <w:pPr>
        <w:numPr>
          <w:ilvl w:val="0"/>
          <w:numId w:val="1011"/>
        </w:numPr>
        <w:pStyle w:val="Compact"/>
      </w:pPr>
      <w:r>
        <w:t xml:space="preserve">DDT [PMID: 26198647]</w:t>
      </w:r>
    </w:p>
    <w:p>
      <w:pPr>
        <w:numPr>
          <w:ilvl w:val="0"/>
          <w:numId w:val="1011"/>
        </w:numPr>
        <w:pStyle w:val="Compact"/>
      </w:pPr>
      <w:r>
        <w:t xml:space="preserve">Ethyl acrylate [PMID: 26198647]</w:t>
      </w:r>
    </w:p>
    <w:p>
      <w:pPr>
        <w:numPr>
          <w:ilvl w:val="0"/>
          <w:numId w:val="1011"/>
        </w:numPr>
        <w:pStyle w:val="Compact"/>
      </w:pPr>
      <w:r>
        <w:t xml:space="preserve">N-nitrosodiethylamine [PMID: 19638242]</w:t>
      </w:r>
    </w:p>
    <w:p>
      <w:pPr>
        <w:numPr>
          <w:ilvl w:val="0"/>
          <w:numId w:val="1011"/>
        </w:numPr>
        <w:pStyle w:val="Compact"/>
      </w:pPr>
      <w:r>
        <w:t xml:space="preserve">aflatoxin B1 [PMID: 23630614, PMID: 25378103]</w:t>
      </w:r>
    </w:p>
    <w:p>
      <w:pPr>
        <w:numPr>
          <w:ilvl w:val="0"/>
          <w:numId w:val="1011"/>
        </w:numPr>
        <w:pStyle w:val="Compact"/>
      </w:pPr>
      <w:r>
        <w:t xml:space="preserve">aldosterone [PMID: 25204689]</w:t>
      </w:r>
    </w:p>
    <w:p>
      <w:pPr>
        <w:numPr>
          <w:ilvl w:val="0"/>
          <w:numId w:val="1011"/>
        </w:numPr>
        <w:pStyle w:val="Compact"/>
      </w:pPr>
      <w:r>
        <w:t xml:space="preserve">andrographolide [PMID: 29355602, PMID: 29355602]</w:t>
      </w:r>
    </w:p>
    <w:p>
      <w:pPr>
        <w:numPr>
          <w:ilvl w:val="0"/>
          <w:numId w:val="1011"/>
        </w:numPr>
        <w:pStyle w:val="Compact"/>
      </w:pPr>
      <w:r>
        <w:t xml:space="preserve">azathioprine [PMID: 26198647]</w:t>
      </w:r>
    </w:p>
    <w:p>
      <w:pPr>
        <w:numPr>
          <w:ilvl w:val="0"/>
          <w:numId w:val="1011"/>
        </w:numPr>
        <w:pStyle w:val="Compact"/>
      </w:pPr>
      <w:r>
        <w:t xml:space="preserve">benzidine [PMID: 26198647]</w:t>
      </w:r>
    </w:p>
    <w:p>
      <w:pPr>
        <w:numPr>
          <w:ilvl w:val="0"/>
          <w:numId w:val="1011"/>
        </w:numPr>
        <w:pStyle w:val="Compact"/>
      </w:pPr>
      <w:r>
        <w:t xml:space="preserve">benzo[a]pyrene [PMID: 26198647]</w:t>
      </w:r>
    </w:p>
    <w:p>
      <w:pPr>
        <w:numPr>
          <w:ilvl w:val="0"/>
          <w:numId w:val="1011"/>
        </w:numPr>
        <w:pStyle w:val="Compact"/>
      </w:pPr>
      <w:r>
        <w:t xml:space="preserve">bisphenol A [PMID: 32145629]</w:t>
      </w:r>
    </w:p>
    <w:p>
      <w:pPr>
        <w:numPr>
          <w:ilvl w:val="0"/>
          <w:numId w:val="1011"/>
        </w:numPr>
        <w:pStyle w:val="Compact"/>
      </w:pPr>
      <w:r>
        <w:t xml:space="preserve">cadmium dichloride [PMID: 22677785, PMID: 29486218]</w:t>
      </w:r>
    </w:p>
    <w:p>
      <w:pPr>
        <w:numPr>
          <w:ilvl w:val="0"/>
          <w:numId w:val="1011"/>
        </w:numPr>
        <w:pStyle w:val="Compact"/>
      </w:pPr>
      <w:r>
        <w:t xml:space="preserve">cholesterol [PMID: 29486218]</w:t>
      </w:r>
    </w:p>
    <w:p>
      <w:pPr>
        <w:numPr>
          <w:ilvl w:val="0"/>
          <w:numId w:val="1011"/>
        </w:numPr>
        <w:pStyle w:val="Compact"/>
      </w:pPr>
      <w:r>
        <w:t xml:space="preserve">clavulanic acid [PMID: 34767876]</w:t>
      </w:r>
    </w:p>
    <w:p>
      <w:pPr>
        <w:numPr>
          <w:ilvl w:val="0"/>
          <w:numId w:val="1011"/>
        </w:numPr>
        <w:pStyle w:val="Compact"/>
      </w:pPr>
      <w:r>
        <w:t xml:space="preserve">cocaine [PMID: 30393195]</w:t>
      </w:r>
    </w:p>
    <w:p>
      <w:pPr>
        <w:numPr>
          <w:ilvl w:val="0"/>
          <w:numId w:val="1011"/>
        </w:numPr>
        <w:pStyle w:val="Compact"/>
      </w:pPr>
      <w:r>
        <w:t xml:space="preserve">copper(II) chloride [PMID: 17211630]</w:t>
      </w:r>
    </w:p>
    <w:p>
      <w:pPr>
        <w:numPr>
          <w:ilvl w:val="0"/>
          <w:numId w:val="1011"/>
        </w:numPr>
        <w:pStyle w:val="Compact"/>
      </w:pPr>
      <w:r>
        <w:t xml:space="preserve">curcumin [PMID: 17602960, PMID: 18332871]</w:t>
      </w:r>
    </w:p>
    <w:p>
      <w:pPr>
        <w:numPr>
          <w:ilvl w:val="0"/>
          <w:numId w:val="1011"/>
        </w:numPr>
        <w:pStyle w:val="Compact"/>
      </w:pPr>
      <w:r>
        <w:t xml:space="preserve">diazinon [PMID: 26198647]</w:t>
      </w:r>
    </w:p>
    <w:p>
      <w:pPr>
        <w:numPr>
          <w:ilvl w:val="0"/>
          <w:numId w:val="1011"/>
        </w:numPr>
        <w:pStyle w:val="Compact"/>
      </w:pPr>
      <w:r>
        <w:t xml:space="preserve">diethyl maleate [PMID: 33545341]</w:t>
      </w:r>
    </w:p>
    <w:p>
      <w:pPr>
        <w:numPr>
          <w:ilvl w:val="0"/>
          <w:numId w:val="1011"/>
        </w:numPr>
        <w:pStyle w:val="Compact"/>
      </w:pPr>
      <w:r>
        <w:t xml:space="preserve">diethylstilbestrol [PMID: 26198647]</w:t>
      </w:r>
    </w:p>
    <w:p>
      <w:pPr>
        <w:numPr>
          <w:ilvl w:val="0"/>
          <w:numId w:val="1011"/>
        </w:numPr>
        <w:pStyle w:val="Compact"/>
      </w:pPr>
      <w:r>
        <w:t xml:space="preserve">eugenol [PMID: 26198647]</w:t>
      </w:r>
    </w:p>
    <w:p>
      <w:pPr>
        <w:numPr>
          <w:ilvl w:val="0"/>
          <w:numId w:val="1011"/>
        </w:numPr>
        <w:pStyle w:val="Compact"/>
      </w:pPr>
      <w:r>
        <w:t xml:space="preserve">fipronil [PMID: 23962444]</w:t>
      </w:r>
    </w:p>
    <w:p>
      <w:pPr>
        <w:numPr>
          <w:ilvl w:val="0"/>
          <w:numId w:val="1011"/>
        </w:numPr>
        <w:pStyle w:val="Compact"/>
      </w:pPr>
      <w:r>
        <w:t xml:space="preserve">flutamide [PMID: 24136188]</w:t>
      </w:r>
    </w:p>
    <w:p>
      <w:pPr>
        <w:numPr>
          <w:ilvl w:val="0"/>
          <w:numId w:val="1011"/>
        </w:numPr>
        <w:pStyle w:val="Compact"/>
      </w:pPr>
      <w:r>
        <w:t xml:space="preserve">furan [PMID: 24183702]</w:t>
      </w:r>
    </w:p>
    <w:p>
      <w:pPr>
        <w:numPr>
          <w:ilvl w:val="0"/>
          <w:numId w:val="1011"/>
        </w:numPr>
        <w:pStyle w:val="Compact"/>
      </w:pPr>
      <w:r>
        <w:t xml:space="preserve">gamma-hexachlorocyclohexane [PMID: 26198647]</w:t>
      </w:r>
    </w:p>
    <w:p>
      <w:pPr>
        <w:numPr>
          <w:ilvl w:val="0"/>
          <w:numId w:val="1011"/>
        </w:numPr>
        <w:pStyle w:val="Compact"/>
      </w:pPr>
      <w:r>
        <w:t xml:space="preserve">ginsenoside Rg1 [PMID: 29964319]</w:t>
      </w:r>
    </w:p>
    <w:p>
      <w:pPr>
        <w:numPr>
          <w:ilvl w:val="0"/>
          <w:numId w:val="1011"/>
        </w:numPr>
        <w:pStyle w:val="Compact"/>
      </w:pPr>
      <w:r>
        <w:t xml:space="preserve">hydrogen peroxide [PMID: 23410634]</w:t>
      </w:r>
    </w:p>
    <w:p>
      <w:pPr>
        <w:numPr>
          <w:ilvl w:val="0"/>
          <w:numId w:val="1011"/>
        </w:numPr>
        <w:pStyle w:val="Compact"/>
      </w:pPr>
      <w:r>
        <w:t xml:space="preserve">leflunomide [PMID: 24136188]</w:t>
      </w:r>
    </w:p>
    <w:p>
      <w:pPr>
        <w:numPr>
          <w:ilvl w:val="0"/>
          <w:numId w:val="1011"/>
        </w:numPr>
        <w:pStyle w:val="Compact"/>
      </w:pPr>
      <w:r>
        <w:t xml:space="preserve">menadione [PMID: 23410634]</w:t>
      </w:r>
    </w:p>
    <w:p>
      <w:pPr>
        <w:numPr>
          <w:ilvl w:val="0"/>
          <w:numId w:val="1011"/>
        </w:numPr>
        <w:pStyle w:val="Compact"/>
      </w:pPr>
      <w:r>
        <w:t xml:space="preserve">methapyrilene [PMID: 28935588, PMID: 30467583]</w:t>
      </w:r>
    </w:p>
    <w:p>
      <w:pPr>
        <w:numPr>
          <w:ilvl w:val="0"/>
          <w:numId w:val="1011"/>
        </w:numPr>
        <w:pStyle w:val="Compact"/>
      </w:pPr>
      <w:r>
        <w:t xml:space="preserve">methimazole [PMID: 20144635]</w:t>
      </w:r>
    </w:p>
    <w:p>
      <w:pPr>
        <w:numPr>
          <w:ilvl w:val="0"/>
          <w:numId w:val="1011"/>
        </w:numPr>
        <w:pStyle w:val="Compact"/>
      </w:pPr>
      <w:r>
        <w:t xml:space="preserve">microcystin-LR [PMID: 17654400]</w:t>
      </w:r>
    </w:p>
    <w:p>
      <w:pPr>
        <w:numPr>
          <w:ilvl w:val="0"/>
          <w:numId w:val="1011"/>
        </w:numPr>
        <w:pStyle w:val="Compact"/>
      </w:pPr>
      <w:r>
        <w:t xml:space="preserve">nefazodone [PMID: 24136188]</w:t>
      </w:r>
    </w:p>
    <w:p>
      <w:pPr>
        <w:numPr>
          <w:ilvl w:val="0"/>
          <w:numId w:val="1011"/>
        </w:numPr>
        <w:pStyle w:val="Compact"/>
      </w:pPr>
      <w:r>
        <w:t xml:space="preserve">nimesulide [PMID: 24136188]</w:t>
      </w:r>
    </w:p>
    <w:p>
      <w:pPr>
        <w:numPr>
          <w:ilvl w:val="0"/>
          <w:numId w:val="1011"/>
        </w:numPr>
        <w:pStyle w:val="Compact"/>
      </w:pPr>
      <w:r>
        <w:t xml:space="preserve">oleanolic acid [PMID: 18706400, PMID: 18706400]</w:t>
      </w:r>
    </w:p>
    <w:p>
      <w:pPr>
        <w:numPr>
          <w:ilvl w:val="0"/>
          <w:numId w:val="1011"/>
        </w:numPr>
        <w:pStyle w:val="Compact"/>
      </w:pPr>
      <w:r>
        <w:t xml:space="preserve">para-Cresidine [PMID: 26198647]</w:t>
      </w:r>
    </w:p>
    <w:p>
      <w:pPr>
        <w:numPr>
          <w:ilvl w:val="0"/>
          <w:numId w:val="1011"/>
        </w:numPr>
        <w:pStyle w:val="Compact"/>
      </w:pPr>
      <w:r>
        <w:t xml:space="preserve">phenethyl isothiocyanate [PMID: 20442190]</w:t>
      </w:r>
    </w:p>
    <w:p>
      <w:pPr>
        <w:numPr>
          <w:ilvl w:val="0"/>
          <w:numId w:val="1011"/>
        </w:numPr>
        <w:pStyle w:val="Compact"/>
      </w:pPr>
      <w:r>
        <w:t xml:space="preserve">phenol [PMID: 26198647]</w:t>
      </w:r>
    </w:p>
    <w:p>
      <w:pPr>
        <w:numPr>
          <w:ilvl w:val="0"/>
          <w:numId w:val="1011"/>
        </w:numPr>
        <w:pStyle w:val="Compact"/>
      </w:pPr>
      <w:r>
        <w:t xml:space="preserve">phorbol 13-acetate 12-myristate [PMID: 26198647]</w:t>
      </w:r>
    </w:p>
    <w:p>
      <w:pPr>
        <w:numPr>
          <w:ilvl w:val="0"/>
          <w:numId w:val="1011"/>
        </w:numPr>
        <w:pStyle w:val="Compact"/>
      </w:pPr>
      <w:r>
        <w:t xml:space="preserve">prostaglandin J2 [PMID: 18332871]</w:t>
      </w:r>
    </w:p>
    <w:p>
      <w:pPr>
        <w:numPr>
          <w:ilvl w:val="0"/>
          <w:numId w:val="1011"/>
        </w:numPr>
        <w:pStyle w:val="Compact"/>
      </w:pPr>
      <w:r>
        <w:t xml:space="preserve">sulforaphane [PMID: 20442190, PMID: 34767876]</w:t>
      </w:r>
    </w:p>
    <w:p>
      <w:pPr>
        <w:numPr>
          <w:ilvl w:val="0"/>
          <w:numId w:val="1011"/>
        </w:numPr>
        <w:pStyle w:val="Compact"/>
      </w:pPr>
      <w:r>
        <w:t xml:space="preserve">tert-butyl hydroperoxide [PMID: 23410634]</w:t>
      </w:r>
    </w:p>
    <w:p>
      <w:pPr>
        <w:numPr>
          <w:ilvl w:val="0"/>
          <w:numId w:val="1011"/>
        </w:numPr>
        <w:pStyle w:val="Compact"/>
      </w:pPr>
      <w:r>
        <w:t xml:space="preserve">thioacetamide [PMID: 23411599, PMID: 25242409, PMID: 34492290]</w:t>
      </w:r>
    </w:p>
    <w:p>
      <w:pPr>
        <w:numPr>
          <w:ilvl w:val="0"/>
          <w:numId w:val="1011"/>
        </w:numPr>
        <w:pStyle w:val="Compact"/>
      </w:pPr>
      <w:r>
        <w:t xml:space="preserve">ursodeoxycholic acid [PMID: 18687751]</w:t>
      </w:r>
    </w:p>
    <w:p>
      <w:pPr>
        <w:numPr>
          <w:ilvl w:val="0"/>
          <w:numId w:val="1011"/>
        </w:numPr>
        <w:pStyle w:val="Compact"/>
      </w:pPr>
      <w:r>
        <w:t xml:space="preserve">valdecoxib [PMID: 24136188]</w:t>
      </w:r>
    </w:p>
    <w:p>
      <w:pPr>
        <w:numPr>
          <w:ilvl w:val="0"/>
          <w:numId w:val="1011"/>
        </w:numPr>
        <w:pStyle w:val="Compact"/>
      </w:pPr>
      <w:r>
        <w:t xml:space="preserve">valproic acid [PMID: 25716160]</w:t>
      </w:r>
    </w:p>
    <w:bookmarkEnd w:id="100"/>
    <w:bookmarkStart w:id="101" w:name="X66bcf4a0dbd9e6b6c647a73d9cc717b8c3d6d9b"/>
    <w:p>
      <w:pPr>
        <w:pStyle w:val="Heading2"/>
      </w:pPr>
      <w:r>
        <w:t xml:space="preserve">Compounds that decrease expression of the gene:</w:t>
      </w:r>
    </w:p>
    <w:p>
      <w:pPr>
        <w:numPr>
          <w:ilvl w:val="0"/>
          <w:numId w:val="1012"/>
        </w:numPr>
        <w:pStyle w:val="Compact"/>
      </w:pPr>
      <w:r>
        <w:t xml:space="preserve">1-naphthyl isothiocyanate [PMID: 37348807]</w:t>
      </w:r>
    </w:p>
    <w:p>
      <w:pPr>
        <w:numPr>
          <w:ilvl w:val="0"/>
          <w:numId w:val="1012"/>
        </w:numPr>
        <w:pStyle w:val="Compact"/>
      </w:pPr>
      <w:r>
        <w:t xml:space="preserve">N-nitrosodimethylamine [PMID: 23485615]</w:t>
      </w:r>
    </w:p>
    <w:p>
      <w:pPr>
        <w:numPr>
          <w:ilvl w:val="0"/>
          <w:numId w:val="1012"/>
        </w:numPr>
        <w:pStyle w:val="Compact"/>
      </w:pPr>
      <w:r>
        <w:t xml:space="preserve">ampicillin [PMID: 26198647]</w:t>
      </w:r>
    </w:p>
    <w:p>
      <w:pPr>
        <w:numPr>
          <w:ilvl w:val="0"/>
          <w:numId w:val="1012"/>
        </w:numPr>
        <w:pStyle w:val="Compact"/>
      </w:pPr>
      <w:r>
        <w:t xml:space="preserve">buspirone [PMID: 24136188]</w:t>
      </w:r>
    </w:p>
    <w:p>
      <w:pPr>
        <w:numPr>
          <w:ilvl w:val="0"/>
          <w:numId w:val="1012"/>
        </w:numPr>
        <w:pStyle w:val="Compact"/>
      </w:pPr>
      <w:r>
        <w:t xml:space="preserve">ciprofibrate [PMID: 7676460]</w:t>
      </w:r>
    </w:p>
    <w:p>
      <w:pPr>
        <w:numPr>
          <w:ilvl w:val="0"/>
          <w:numId w:val="1012"/>
        </w:numPr>
        <w:pStyle w:val="Compact"/>
      </w:pPr>
      <w:r>
        <w:t xml:space="preserve">diquat [PMID: 7676460]</w:t>
      </w:r>
    </w:p>
    <w:p>
      <w:pPr>
        <w:numPr>
          <w:ilvl w:val="0"/>
          <w:numId w:val="1012"/>
        </w:numPr>
        <w:pStyle w:val="Compact"/>
      </w:pPr>
      <w:r>
        <w:t xml:space="preserve">levofloxacin [PMID: 24136188]</w:t>
      </w:r>
    </w:p>
    <w:p>
      <w:pPr>
        <w:numPr>
          <w:ilvl w:val="0"/>
          <w:numId w:val="1012"/>
        </w:numPr>
        <w:pStyle w:val="Compact"/>
      </w:pPr>
      <w:r>
        <w:t xml:space="preserve">phenobarbital [PMID: 19270015, PMID: 19162173]</w:t>
      </w:r>
    </w:p>
    <w:p>
      <w:pPr>
        <w:numPr>
          <w:ilvl w:val="0"/>
          <w:numId w:val="1012"/>
        </w:numPr>
        <w:pStyle w:val="Compact"/>
      </w:pPr>
      <w:r>
        <w:t xml:space="preserve">silicon dioxide [PMID: 23221170]</w:t>
      </w:r>
    </w:p>
    <w:p>
      <w:pPr>
        <w:numPr>
          <w:ilvl w:val="0"/>
          <w:numId w:val="1012"/>
        </w:numPr>
        <w:pStyle w:val="Compact"/>
      </w:pPr>
      <w:r>
        <w:t xml:space="preserve">trovafloxacin [PMID: 24136188]</w:t>
      </w:r>
    </w:p>
    <w:bookmarkEnd w:id="101"/>
    <w:bookmarkEnd w:id="102"/>
    <w:bookmarkStart w:id="10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Anemia, Hemolytic [PMID: 10515893]</w:t>
      </w:r>
    </w:p>
    <w:p>
      <w:pPr>
        <w:numPr>
          <w:ilvl w:val="0"/>
          <w:numId w:val="1013"/>
        </w:numPr>
        <w:pStyle w:val="Compact"/>
      </w:pPr>
      <w:r>
        <w:t xml:space="preserve">Malignant neoplasm of lung [PMID: 11911273, PMID: 9245699, PMID: 9569044]</w:t>
      </w:r>
    </w:p>
    <w:p>
      <w:pPr>
        <w:numPr>
          <w:ilvl w:val="0"/>
          <w:numId w:val="1013"/>
        </w:numPr>
        <w:pStyle w:val="Compact"/>
      </w:pPr>
      <w:r>
        <w:t xml:space="preserve">Non-Small Cell Lung Carcinoma [PMID: 25189947, PMID: 30401714]</w:t>
      </w:r>
    </w:p>
    <w:p>
      <w:pPr>
        <w:numPr>
          <w:ilvl w:val="0"/>
          <w:numId w:val="1013"/>
        </w:numPr>
        <w:pStyle w:val="Compact"/>
      </w:pPr>
      <w:r>
        <w:t xml:space="preserve">Neoplasms [PMID: 19826105, PMID: 24342307, PMID: 24802641, PMID: 25189947, PMID: 29474642]</w:t>
      </w:r>
    </w:p>
    <w:p>
      <w:pPr>
        <w:numPr>
          <w:ilvl w:val="0"/>
          <w:numId w:val="1013"/>
        </w:numPr>
        <w:pStyle w:val="Compact"/>
      </w:pPr>
      <w:r>
        <w:t xml:space="preserve">Malignant Neoplasms [PMID: 11687904, PMID: 21617856, PMID: 29395579]</w:t>
      </w:r>
    </w:p>
    <w:bookmarkEnd w:id="10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0" Target="https://alphafold.ebi.ac.uk/entry/P19468" TargetMode="External" /><Relationship Type="http://schemas.openxmlformats.org/officeDocument/2006/relationships/hyperlink" Id="rId39" Target="https://alphafold.ebi.ac.uk/entry/P48506" TargetMode="External" /><Relationship Type="http://schemas.openxmlformats.org/officeDocument/2006/relationships/hyperlink" Id="rId29" Target="https://maayanlab.cloud/Harmonizome/gene/GCLC" TargetMode="External" /><Relationship Type="http://schemas.openxmlformats.org/officeDocument/2006/relationships/hyperlink" Id="rId42" Target="https://reactome.org/PathwayBrowser/#/R-HSA-174403" TargetMode="External" /><Relationship Type="http://schemas.openxmlformats.org/officeDocument/2006/relationships/hyperlink" Id="rId44" Target="https://reactome.org/PathwayBrowser/#/R-HSA-5578999" TargetMode="External" /><Relationship Type="http://schemas.openxmlformats.org/officeDocument/2006/relationships/hyperlink" Id="rId43" Target="https://reactome.org/PathwayBrowser/#/R-HSA-9818027" TargetMode="External" /><Relationship Type="http://schemas.openxmlformats.org/officeDocument/2006/relationships/hyperlink" Id="rId34" Target="https://rgd.mcw.edu/rgdweb/report/gene/main.html?id=619868" TargetMode="External" /><Relationship Type="http://schemas.openxmlformats.org/officeDocument/2006/relationships/hyperlink" Id="rId25" Target="https://string-db.org/newstring_cgi/show_edge_details.pl?identifiers=9606.ENSP00000497574%0D9606.ENSP00000380252" TargetMode="External" /><Relationship Type="http://schemas.openxmlformats.org/officeDocument/2006/relationships/hyperlink" Id="rId26" Target="https://string-db.org/newstring_cgi/show_edge_details.pl?identifiers=9606.ENSP00000497574%0D9606.ENSP00000495750" TargetMode="External" /><Relationship Type="http://schemas.openxmlformats.org/officeDocument/2006/relationships/hyperlink" Id="rId32" Target="https://useast.ensembl.org/Homo_sapiens/Gene/Summary?g=ENSG00000001084" TargetMode="External" /><Relationship Type="http://schemas.openxmlformats.org/officeDocument/2006/relationships/hyperlink" Id="rId33" Target="https://useast.ensembl.org/Rattus_norvegicus/Gene/Summary?g=ENSRNOG00000006302" TargetMode="External" /><Relationship Type="http://schemas.openxmlformats.org/officeDocument/2006/relationships/hyperlink" Id="rId20" Target="https://www.genecards.org/cgi-bin/carddisp.pl?gene=GCLC" TargetMode="External" /><Relationship Type="http://schemas.openxmlformats.org/officeDocument/2006/relationships/hyperlink" Id="rId80" Target="https://www.gsea-msigdb.org/gsea/msigdb/human/geneset/BENPORATH_MYC_MAX_TARGETS.html" TargetMode="External" /><Relationship Type="http://schemas.openxmlformats.org/officeDocument/2006/relationships/hyperlink" Id="rId59" Target="https://www.gsea-msigdb.org/gsea/msigdb/human/geneset/BOYAULT_LIVER_CANCER_SUBCLASS_G1_DN.html" TargetMode="External" /><Relationship Type="http://schemas.openxmlformats.org/officeDocument/2006/relationships/hyperlink" Id="rId74" Target="https://www.gsea-msigdb.org/gsea/msigdb/human/geneset/BROWNE_HCMV_INFECTION_14HR_UP.html" TargetMode="External" /><Relationship Type="http://schemas.openxmlformats.org/officeDocument/2006/relationships/hyperlink" Id="rId50" Target="https://www.gsea-msigdb.org/gsea/msigdb/human/geneset/CARRILLOREIXACH_HEPATOBLASTOMA_VS_NORMAL_DN.html" TargetMode="External" /><Relationship Type="http://schemas.openxmlformats.org/officeDocument/2006/relationships/hyperlink" Id="rId82" Target="https://www.gsea-msigdb.org/gsea/msigdb/human/geneset/DANG_BOUND_BY_MYC.html" TargetMode="External" /><Relationship Type="http://schemas.openxmlformats.org/officeDocument/2006/relationships/hyperlink" Id="rId84" Target="https://www.gsea-msigdb.org/gsea/msigdb/human/geneset/FISCHER_G1_S_CELL_CYCLE.html" TargetMode="External" /><Relationship Type="http://schemas.openxmlformats.org/officeDocument/2006/relationships/hyperlink" Id="rId67" Target="https://www.gsea-msigdb.org/gsea/msigdb/human/geneset/GARGALOVIC_RESPONSE_TO_OXIDIZED_PHOSPHOLIPIDS_YELLOW_UP.html" TargetMode="External" /><Relationship Type="http://schemas.openxmlformats.org/officeDocument/2006/relationships/hyperlink" Id="rId76" Target="https://www.gsea-msigdb.org/gsea/msigdb/human/geneset/IBRAHIM_NRF2_UP.html" TargetMode="External" /><Relationship Type="http://schemas.openxmlformats.org/officeDocument/2006/relationships/hyperlink" Id="rId87" Target="https://www.gsea-msigdb.org/gsea/msigdb/human/geneset/ITO_PTTG1_TARGETS_UP.html" TargetMode="External" /><Relationship Type="http://schemas.openxmlformats.org/officeDocument/2006/relationships/hyperlink" Id="rId81" Target="https://www.gsea-msigdb.org/gsea/msigdb/human/geneset/JINESH_BLEBBISHIELD_TRANSFORMED_STEM_CELL_SPHERES_UP.html" TargetMode="External" /><Relationship Type="http://schemas.openxmlformats.org/officeDocument/2006/relationships/hyperlink" Id="rId52" Target="https://www.gsea-msigdb.org/gsea/msigdb/human/geneset/KEGG_GLUTATHIONE_METABOLISM.html" TargetMode="External" /><Relationship Type="http://schemas.openxmlformats.org/officeDocument/2006/relationships/hyperlink" Id="rId60" Target="https://www.gsea-msigdb.org/gsea/msigdb/human/geneset/KEGG_MEDICUS_REFERENCE_GLUTATHIONE_BIOSYNTHESIS.html" TargetMode="External" /><Relationship Type="http://schemas.openxmlformats.org/officeDocument/2006/relationships/hyperlink" Id="rId77" Target="https://www.gsea-msigdb.org/gsea/msigdb/human/geneset/KRIEG_HYPOXIA_NOT_VIA_KDM3A.html" TargetMode="External" /><Relationship Type="http://schemas.openxmlformats.org/officeDocument/2006/relationships/hyperlink" Id="rId78" Target="https://www.gsea-msigdb.org/gsea/msigdb/human/geneset/KYNG_DNA_DAMAGE_BY_GAMMA_AND_UV_RADIATION.html" TargetMode="External" /><Relationship Type="http://schemas.openxmlformats.org/officeDocument/2006/relationships/hyperlink" Id="rId86" Target="https://www.gsea-msigdb.org/gsea/msigdb/human/geneset/OSWALD_HEMATOPOIETIC_STEM_CELL_IN_COLLAGEN_GEL_UP.html" TargetMode="External" /><Relationship Type="http://schemas.openxmlformats.org/officeDocument/2006/relationships/hyperlink" Id="rId66" Target="https://www.gsea-msigdb.org/gsea/msigdb/human/geneset/REACTOME_BIOLOGICAL_OXIDATIONS.html" TargetMode="External" /><Relationship Type="http://schemas.openxmlformats.org/officeDocument/2006/relationships/hyperlink" Id="rId73" Target="https://www.gsea-msigdb.org/gsea/msigdb/human/geneset/REACTOME_CELLULAR_RESPONSES_TO_STIMULI.html" TargetMode="External" /><Relationship Type="http://schemas.openxmlformats.org/officeDocument/2006/relationships/hyperlink" Id="rId69" Target="https://www.gsea-msigdb.org/gsea/msigdb/human/geneset/REACTOME_CELLULAR_RESPONSE_TO_CHEMICAL_STRESS.html" TargetMode="External" /><Relationship Type="http://schemas.openxmlformats.org/officeDocument/2006/relationships/hyperlink" Id="rId47" Target="https://www.gsea-msigdb.org/gsea/msigdb/human/geneset/REACTOME_DISEASES_OF_METABOLISM.html" TargetMode="External" /><Relationship Type="http://schemas.openxmlformats.org/officeDocument/2006/relationships/hyperlink" Id="rId56" Target="https://www.gsea-msigdb.org/gsea/msigdb/human/geneset/REACTOME_GLUTATHIONE_CONJUGATION.html" TargetMode="External" /><Relationship Type="http://schemas.openxmlformats.org/officeDocument/2006/relationships/hyperlink" Id="rId58" Target="https://www.gsea-msigdb.org/gsea/msigdb/human/geneset/REACTOME_GLUTATHIONE_SYNTHESIS_AND_RECYCLING.html" TargetMode="External" /><Relationship Type="http://schemas.openxmlformats.org/officeDocument/2006/relationships/hyperlink" Id="rId68" Target="https://www.gsea-msigdb.org/gsea/msigdb/human/geneset/REACTOME_KEAP1_NFE2L2_PATHWAY.html" TargetMode="External" /><Relationship Type="http://schemas.openxmlformats.org/officeDocument/2006/relationships/hyperlink" Id="rId53" Target="https://www.gsea-msigdb.org/gsea/msigdb/human/geneset/REACTOME_METABOLIC_DISORDERS_OF_BIOLOGICAL_OXIDATION_ENZYMES.html" TargetMode="External" /><Relationship Type="http://schemas.openxmlformats.org/officeDocument/2006/relationships/hyperlink" Id="rId65" Target="https://www.gsea-msigdb.org/gsea/msigdb/human/geneset/REACTOME_NFE2L2_REGULATING_ANTI_OXIDANT_DETOXIFICATION_ENZYMES.html" TargetMode="External" /><Relationship Type="http://schemas.openxmlformats.org/officeDocument/2006/relationships/hyperlink" Id="rId72" Target="https://www.gsea-msigdb.org/gsea/msigdb/human/geneset/REACTOME_NUCLEAR_EVENTS_MEDIATED_BY_NFE2L2.html" TargetMode="External" /><Relationship Type="http://schemas.openxmlformats.org/officeDocument/2006/relationships/hyperlink" Id="rId71" Target="https://www.gsea-msigdb.org/gsea/msigdb/human/geneset/REACTOME_PHASE_II_CONJUGATION_OF_COMPOUNDS.html" TargetMode="External" /><Relationship Type="http://schemas.openxmlformats.org/officeDocument/2006/relationships/hyperlink" Id="rId49" Target="https://www.gsea-msigdb.org/gsea/msigdb/human/geneset/ROESSLER_LIVER_CANCER_METASTASIS_UP.html" TargetMode="External" /><Relationship Type="http://schemas.openxmlformats.org/officeDocument/2006/relationships/hyperlink" Id="rId79" Target="https://www.gsea-msigdb.org/gsea/msigdb/human/geneset/SINGH_NFE2L2_TARGETS.html" TargetMode="External" /><Relationship Type="http://schemas.openxmlformats.org/officeDocument/2006/relationships/hyperlink" Id="rId57" Target="https://www.gsea-msigdb.org/gsea/msigdb/human/geneset/VILLANUEVA_LIVER_CANCER_KRT19_DN.html" TargetMode="External" /><Relationship Type="http://schemas.openxmlformats.org/officeDocument/2006/relationships/hyperlink" Id="rId61" Target="https://www.gsea-msigdb.org/gsea/msigdb/human/geneset/WP_ARYL_HYDROCARBON_RECEPTOR_PATHWAY_WP2586.html" TargetMode="External" /><Relationship Type="http://schemas.openxmlformats.org/officeDocument/2006/relationships/hyperlink" Id="rId54" Target="https://www.gsea-msigdb.org/gsea/msigdb/human/geneset/WP_CYSTEINE_AND_METHIONINE_CATABOLISM.html" TargetMode="External" /><Relationship Type="http://schemas.openxmlformats.org/officeDocument/2006/relationships/hyperlink" Id="rId70" Target="https://www.gsea-msigdb.org/gsea/msigdb/human/geneset/WP_FERROPTOSIS.html" TargetMode="External" /><Relationship Type="http://schemas.openxmlformats.org/officeDocument/2006/relationships/hyperlink" Id="rId48" Target="https://www.gsea-msigdb.org/gsea/msigdb/human/geneset/WP_GAMMAGLUTAMYL_CYCLE_FOR_THE_BIOSYNTHESIS_AND_DEGRADATION_OF_GLUTATHIONE_INCLUDING_DISEASES.html" TargetMode="External" /><Relationship Type="http://schemas.openxmlformats.org/officeDocument/2006/relationships/hyperlink" Id="rId51" Target="https://www.gsea-msigdb.org/gsea/msigdb/human/geneset/WP_GLUTATHIONE_METABOLISM.html" TargetMode="External" /><Relationship Type="http://schemas.openxmlformats.org/officeDocument/2006/relationships/hyperlink" Id="rId75" Target="https://www.gsea-msigdb.org/gsea/msigdb/human/geneset/WP_NRF2ARE_REGULATION.html" TargetMode="External" /><Relationship Type="http://schemas.openxmlformats.org/officeDocument/2006/relationships/hyperlink" Id="rId55" Target="https://www.gsea-msigdb.org/gsea/msigdb/human/geneset/WP_NRF2_PATHWAY.html" TargetMode="External" /><Relationship Type="http://schemas.openxmlformats.org/officeDocument/2006/relationships/hyperlink" Id="rId63" Target="https://www.gsea-msigdb.org/gsea/msigdb/human/geneset/WP_NUCLEAR_RECEPTORS_METAPATHWAY.html" TargetMode="External" /><Relationship Type="http://schemas.openxmlformats.org/officeDocument/2006/relationships/hyperlink" Id="rId62" Target="https://www.gsea-msigdb.org/gsea/msigdb/human/geneset/WP_OXIDATIVE_STRESS_RESPONSE.html" TargetMode="External" /><Relationship Type="http://schemas.openxmlformats.org/officeDocument/2006/relationships/hyperlink" Id="rId64" Target="https://www.gsea-msigdb.org/gsea/msigdb/human/geneset/WP_TRANSSULFURATION_ONECARBON_METABOLISM_AND_RELATED_PATHWAYS.html" TargetMode="External" /><Relationship Type="http://schemas.openxmlformats.org/officeDocument/2006/relationships/hyperlink" Id="rId85" Target="https://www.gsea-msigdb.org/gsea/msigdb/human/geneset/ZHANG_RESPONSE_TO_IKK_INHIBITOR_AND_TNF_UP.html" TargetMode="External" /><Relationship Type="http://schemas.openxmlformats.org/officeDocument/2006/relationships/hyperlink" Id="rId83" Target="https://www.gsea-msigdb.org/gsea/msigdb/human/geneset/ZWANG_CLASS_1_TRANSIENTLY_INDUCED_BY_EGF.html" TargetMode="External" /><Relationship Type="http://schemas.openxmlformats.org/officeDocument/2006/relationships/hyperlink" Id="rId31" Target="https://www.ncbi.nlm.nih.gov/gene/25283" TargetMode="External" /><Relationship Type="http://schemas.openxmlformats.org/officeDocument/2006/relationships/hyperlink" Id="rId30" Target="https://www.ncbi.nlm.nih.gov/gene/2729" TargetMode="External" /><Relationship Type="http://schemas.openxmlformats.org/officeDocument/2006/relationships/hyperlink" Id="rId97" Target="https://www.proteinatlas.org/ENSG00000001084/single+cell+type" TargetMode="External" /><Relationship Type="http://schemas.openxmlformats.org/officeDocument/2006/relationships/hyperlink" Id="rId91" Target="https://www.proteinatlas.org/ENSG00000001084/subcellular" TargetMode="External" /><Relationship Type="http://schemas.openxmlformats.org/officeDocument/2006/relationships/hyperlink" Id="rId96" Target="https://www.proteinatlas.org/ENSG00000001084/tissue" TargetMode="External" /><Relationship Type="http://schemas.openxmlformats.org/officeDocument/2006/relationships/hyperlink" Id="rId36" Target="https://www.uniprot.org/uniprotkb/P19468" TargetMode="External" /><Relationship Type="http://schemas.openxmlformats.org/officeDocument/2006/relationships/hyperlink" Id="rId35" Target="https://www.uniprot.org/uniprotkb/P48506" TargetMode="External" /><Relationship Type="http://schemas.openxmlformats.org/officeDocument/2006/relationships/hyperlink" Id="rId38" Target="https://www.wikigenes.org/e/gene/e/25283.html" TargetMode="External" /><Relationship Type="http://schemas.openxmlformats.org/officeDocument/2006/relationships/hyperlink" Id="rId37" Target="https://www.wikigenes.org/e/gene/e/2729.html" TargetMode="External" /></Relationships>
</file>

<file path=word/_rels/footnotes.xml.rels><?xml version="1.0" encoding="UTF-8"?><Relationships xmlns="http://schemas.openxmlformats.org/package/2006/relationships"><Relationship Type="http://schemas.openxmlformats.org/officeDocument/2006/relationships/hyperlink" Id="rId40" Target="https://alphafold.ebi.ac.uk/entry/P19468" TargetMode="External" /><Relationship Type="http://schemas.openxmlformats.org/officeDocument/2006/relationships/hyperlink" Id="rId39" Target="https://alphafold.ebi.ac.uk/entry/P48506" TargetMode="External" /><Relationship Type="http://schemas.openxmlformats.org/officeDocument/2006/relationships/hyperlink" Id="rId29" Target="https://maayanlab.cloud/Harmonizome/gene/GCLC" TargetMode="External" /><Relationship Type="http://schemas.openxmlformats.org/officeDocument/2006/relationships/hyperlink" Id="rId42" Target="https://reactome.org/PathwayBrowser/#/R-HSA-174403" TargetMode="External" /><Relationship Type="http://schemas.openxmlformats.org/officeDocument/2006/relationships/hyperlink" Id="rId44" Target="https://reactome.org/PathwayBrowser/#/R-HSA-5578999" TargetMode="External" /><Relationship Type="http://schemas.openxmlformats.org/officeDocument/2006/relationships/hyperlink" Id="rId43" Target="https://reactome.org/PathwayBrowser/#/R-HSA-9818027" TargetMode="External" /><Relationship Type="http://schemas.openxmlformats.org/officeDocument/2006/relationships/hyperlink" Id="rId34" Target="https://rgd.mcw.edu/rgdweb/report/gene/main.html?id=619868" TargetMode="External" /><Relationship Type="http://schemas.openxmlformats.org/officeDocument/2006/relationships/hyperlink" Id="rId25" Target="https://string-db.org/newstring_cgi/show_edge_details.pl?identifiers=9606.ENSP00000497574%0D9606.ENSP00000380252" TargetMode="External" /><Relationship Type="http://schemas.openxmlformats.org/officeDocument/2006/relationships/hyperlink" Id="rId26" Target="https://string-db.org/newstring_cgi/show_edge_details.pl?identifiers=9606.ENSP00000497574%0D9606.ENSP00000495750" TargetMode="External" /><Relationship Type="http://schemas.openxmlformats.org/officeDocument/2006/relationships/hyperlink" Id="rId32" Target="https://useast.ensembl.org/Homo_sapiens/Gene/Summary?g=ENSG00000001084" TargetMode="External" /><Relationship Type="http://schemas.openxmlformats.org/officeDocument/2006/relationships/hyperlink" Id="rId33" Target="https://useast.ensembl.org/Rattus_norvegicus/Gene/Summary?g=ENSRNOG00000006302" TargetMode="External" /><Relationship Type="http://schemas.openxmlformats.org/officeDocument/2006/relationships/hyperlink" Id="rId20" Target="https://www.genecards.org/cgi-bin/carddisp.pl?gene=GCLC" TargetMode="External" /><Relationship Type="http://schemas.openxmlformats.org/officeDocument/2006/relationships/hyperlink" Id="rId80" Target="https://www.gsea-msigdb.org/gsea/msigdb/human/geneset/BENPORATH_MYC_MAX_TARGETS.html" TargetMode="External" /><Relationship Type="http://schemas.openxmlformats.org/officeDocument/2006/relationships/hyperlink" Id="rId59" Target="https://www.gsea-msigdb.org/gsea/msigdb/human/geneset/BOYAULT_LIVER_CANCER_SUBCLASS_G1_DN.html" TargetMode="External" /><Relationship Type="http://schemas.openxmlformats.org/officeDocument/2006/relationships/hyperlink" Id="rId74" Target="https://www.gsea-msigdb.org/gsea/msigdb/human/geneset/BROWNE_HCMV_INFECTION_14HR_UP.html" TargetMode="External" /><Relationship Type="http://schemas.openxmlformats.org/officeDocument/2006/relationships/hyperlink" Id="rId50" Target="https://www.gsea-msigdb.org/gsea/msigdb/human/geneset/CARRILLOREIXACH_HEPATOBLASTOMA_VS_NORMAL_DN.html" TargetMode="External" /><Relationship Type="http://schemas.openxmlformats.org/officeDocument/2006/relationships/hyperlink" Id="rId82" Target="https://www.gsea-msigdb.org/gsea/msigdb/human/geneset/DANG_BOUND_BY_MYC.html" TargetMode="External" /><Relationship Type="http://schemas.openxmlformats.org/officeDocument/2006/relationships/hyperlink" Id="rId84" Target="https://www.gsea-msigdb.org/gsea/msigdb/human/geneset/FISCHER_G1_S_CELL_CYCLE.html" TargetMode="External" /><Relationship Type="http://schemas.openxmlformats.org/officeDocument/2006/relationships/hyperlink" Id="rId67" Target="https://www.gsea-msigdb.org/gsea/msigdb/human/geneset/GARGALOVIC_RESPONSE_TO_OXIDIZED_PHOSPHOLIPIDS_YELLOW_UP.html" TargetMode="External" /><Relationship Type="http://schemas.openxmlformats.org/officeDocument/2006/relationships/hyperlink" Id="rId76" Target="https://www.gsea-msigdb.org/gsea/msigdb/human/geneset/IBRAHIM_NRF2_UP.html" TargetMode="External" /><Relationship Type="http://schemas.openxmlformats.org/officeDocument/2006/relationships/hyperlink" Id="rId87" Target="https://www.gsea-msigdb.org/gsea/msigdb/human/geneset/ITO_PTTG1_TARGETS_UP.html" TargetMode="External" /><Relationship Type="http://schemas.openxmlformats.org/officeDocument/2006/relationships/hyperlink" Id="rId81" Target="https://www.gsea-msigdb.org/gsea/msigdb/human/geneset/JINESH_BLEBBISHIELD_TRANSFORMED_STEM_CELL_SPHERES_UP.html" TargetMode="External" /><Relationship Type="http://schemas.openxmlformats.org/officeDocument/2006/relationships/hyperlink" Id="rId52" Target="https://www.gsea-msigdb.org/gsea/msigdb/human/geneset/KEGG_GLUTATHIONE_METABOLISM.html" TargetMode="External" /><Relationship Type="http://schemas.openxmlformats.org/officeDocument/2006/relationships/hyperlink" Id="rId60" Target="https://www.gsea-msigdb.org/gsea/msigdb/human/geneset/KEGG_MEDICUS_REFERENCE_GLUTATHIONE_BIOSYNTHESIS.html" TargetMode="External" /><Relationship Type="http://schemas.openxmlformats.org/officeDocument/2006/relationships/hyperlink" Id="rId77" Target="https://www.gsea-msigdb.org/gsea/msigdb/human/geneset/KRIEG_HYPOXIA_NOT_VIA_KDM3A.html" TargetMode="External" /><Relationship Type="http://schemas.openxmlformats.org/officeDocument/2006/relationships/hyperlink" Id="rId78" Target="https://www.gsea-msigdb.org/gsea/msigdb/human/geneset/KYNG_DNA_DAMAGE_BY_GAMMA_AND_UV_RADIATION.html" TargetMode="External" /><Relationship Type="http://schemas.openxmlformats.org/officeDocument/2006/relationships/hyperlink" Id="rId86" Target="https://www.gsea-msigdb.org/gsea/msigdb/human/geneset/OSWALD_HEMATOPOIETIC_STEM_CELL_IN_COLLAGEN_GEL_UP.html" TargetMode="External" /><Relationship Type="http://schemas.openxmlformats.org/officeDocument/2006/relationships/hyperlink" Id="rId66" Target="https://www.gsea-msigdb.org/gsea/msigdb/human/geneset/REACTOME_BIOLOGICAL_OXIDATIONS.html" TargetMode="External" /><Relationship Type="http://schemas.openxmlformats.org/officeDocument/2006/relationships/hyperlink" Id="rId73" Target="https://www.gsea-msigdb.org/gsea/msigdb/human/geneset/REACTOME_CELLULAR_RESPONSES_TO_STIMULI.html" TargetMode="External" /><Relationship Type="http://schemas.openxmlformats.org/officeDocument/2006/relationships/hyperlink" Id="rId69" Target="https://www.gsea-msigdb.org/gsea/msigdb/human/geneset/REACTOME_CELLULAR_RESPONSE_TO_CHEMICAL_STRESS.html" TargetMode="External" /><Relationship Type="http://schemas.openxmlformats.org/officeDocument/2006/relationships/hyperlink" Id="rId47" Target="https://www.gsea-msigdb.org/gsea/msigdb/human/geneset/REACTOME_DISEASES_OF_METABOLISM.html" TargetMode="External" /><Relationship Type="http://schemas.openxmlformats.org/officeDocument/2006/relationships/hyperlink" Id="rId56" Target="https://www.gsea-msigdb.org/gsea/msigdb/human/geneset/REACTOME_GLUTATHIONE_CONJUGATION.html" TargetMode="External" /><Relationship Type="http://schemas.openxmlformats.org/officeDocument/2006/relationships/hyperlink" Id="rId58" Target="https://www.gsea-msigdb.org/gsea/msigdb/human/geneset/REACTOME_GLUTATHIONE_SYNTHESIS_AND_RECYCLING.html" TargetMode="External" /><Relationship Type="http://schemas.openxmlformats.org/officeDocument/2006/relationships/hyperlink" Id="rId68" Target="https://www.gsea-msigdb.org/gsea/msigdb/human/geneset/REACTOME_KEAP1_NFE2L2_PATHWAY.html" TargetMode="External" /><Relationship Type="http://schemas.openxmlformats.org/officeDocument/2006/relationships/hyperlink" Id="rId53" Target="https://www.gsea-msigdb.org/gsea/msigdb/human/geneset/REACTOME_METABOLIC_DISORDERS_OF_BIOLOGICAL_OXIDATION_ENZYMES.html" TargetMode="External" /><Relationship Type="http://schemas.openxmlformats.org/officeDocument/2006/relationships/hyperlink" Id="rId65" Target="https://www.gsea-msigdb.org/gsea/msigdb/human/geneset/REACTOME_NFE2L2_REGULATING_ANTI_OXIDANT_DETOXIFICATION_ENZYMES.html" TargetMode="External" /><Relationship Type="http://schemas.openxmlformats.org/officeDocument/2006/relationships/hyperlink" Id="rId72" Target="https://www.gsea-msigdb.org/gsea/msigdb/human/geneset/REACTOME_NUCLEAR_EVENTS_MEDIATED_BY_NFE2L2.html" TargetMode="External" /><Relationship Type="http://schemas.openxmlformats.org/officeDocument/2006/relationships/hyperlink" Id="rId71" Target="https://www.gsea-msigdb.org/gsea/msigdb/human/geneset/REACTOME_PHASE_II_CONJUGATION_OF_COMPOUNDS.html" TargetMode="External" /><Relationship Type="http://schemas.openxmlformats.org/officeDocument/2006/relationships/hyperlink" Id="rId49" Target="https://www.gsea-msigdb.org/gsea/msigdb/human/geneset/ROESSLER_LIVER_CANCER_METASTASIS_UP.html" TargetMode="External" /><Relationship Type="http://schemas.openxmlformats.org/officeDocument/2006/relationships/hyperlink" Id="rId79" Target="https://www.gsea-msigdb.org/gsea/msigdb/human/geneset/SINGH_NFE2L2_TARGETS.html" TargetMode="External" /><Relationship Type="http://schemas.openxmlformats.org/officeDocument/2006/relationships/hyperlink" Id="rId57" Target="https://www.gsea-msigdb.org/gsea/msigdb/human/geneset/VILLANUEVA_LIVER_CANCER_KRT19_DN.html" TargetMode="External" /><Relationship Type="http://schemas.openxmlformats.org/officeDocument/2006/relationships/hyperlink" Id="rId61" Target="https://www.gsea-msigdb.org/gsea/msigdb/human/geneset/WP_ARYL_HYDROCARBON_RECEPTOR_PATHWAY_WP2586.html" TargetMode="External" /><Relationship Type="http://schemas.openxmlformats.org/officeDocument/2006/relationships/hyperlink" Id="rId54" Target="https://www.gsea-msigdb.org/gsea/msigdb/human/geneset/WP_CYSTEINE_AND_METHIONINE_CATABOLISM.html" TargetMode="External" /><Relationship Type="http://schemas.openxmlformats.org/officeDocument/2006/relationships/hyperlink" Id="rId70" Target="https://www.gsea-msigdb.org/gsea/msigdb/human/geneset/WP_FERROPTOSIS.html" TargetMode="External" /><Relationship Type="http://schemas.openxmlformats.org/officeDocument/2006/relationships/hyperlink" Id="rId48" Target="https://www.gsea-msigdb.org/gsea/msigdb/human/geneset/WP_GAMMAGLUTAMYL_CYCLE_FOR_THE_BIOSYNTHESIS_AND_DEGRADATION_OF_GLUTATHIONE_INCLUDING_DISEASES.html" TargetMode="External" /><Relationship Type="http://schemas.openxmlformats.org/officeDocument/2006/relationships/hyperlink" Id="rId51" Target="https://www.gsea-msigdb.org/gsea/msigdb/human/geneset/WP_GLUTATHIONE_METABOLISM.html" TargetMode="External" /><Relationship Type="http://schemas.openxmlformats.org/officeDocument/2006/relationships/hyperlink" Id="rId75" Target="https://www.gsea-msigdb.org/gsea/msigdb/human/geneset/WP_NRF2ARE_REGULATION.html" TargetMode="External" /><Relationship Type="http://schemas.openxmlformats.org/officeDocument/2006/relationships/hyperlink" Id="rId55" Target="https://www.gsea-msigdb.org/gsea/msigdb/human/geneset/WP_NRF2_PATHWAY.html" TargetMode="External" /><Relationship Type="http://schemas.openxmlformats.org/officeDocument/2006/relationships/hyperlink" Id="rId63" Target="https://www.gsea-msigdb.org/gsea/msigdb/human/geneset/WP_NUCLEAR_RECEPTORS_METAPATHWAY.html" TargetMode="External" /><Relationship Type="http://schemas.openxmlformats.org/officeDocument/2006/relationships/hyperlink" Id="rId62" Target="https://www.gsea-msigdb.org/gsea/msigdb/human/geneset/WP_OXIDATIVE_STRESS_RESPONSE.html" TargetMode="External" /><Relationship Type="http://schemas.openxmlformats.org/officeDocument/2006/relationships/hyperlink" Id="rId64" Target="https://www.gsea-msigdb.org/gsea/msigdb/human/geneset/WP_TRANSSULFURATION_ONECARBON_METABOLISM_AND_RELATED_PATHWAYS.html" TargetMode="External" /><Relationship Type="http://schemas.openxmlformats.org/officeDocument/2006/relationships/hyperlink" Id="rId85" Target="https://www.gsea-msigdb.org/gsea/msigdb/human/geneset/ZHANG_RESPONSE_TO_IKK_INHIBITOR_AND_TNF_UP.html" TargetMode="External" /><Relationship Type="http://schemas.openxmlformats.org/officeDocument/2006/relationships/hyperlink" Id="rId83" Target="https://www.gsea-msigdb.org/gsea/msigdb/human/geneset/ZWANG_CLASS_1_TRANSIENTLY_INDUCED_BY_EGF.html" TargetMode="External" /><Relationship Type="http://schemas.openxmlformats.org/officeDocument/2006/relationships/hyperlink" Id="rId31" Target="https://www.ncbi.nlm.nih.gov/gene/25283" TargetMode="External" /><Relationship Type="http://schemas.openxmlformats.org/officeDocument/2006/relationships/hyperlink" Id="rId30" Target="https://www.ncbi.nlm.nih.gov/gene/2729" TargetMode="External" /><Relationship Type="http://schemas.openxmlformats.org/officeDocument/2006/relationships/hyperlink" Id="rId97" Target="https://www.proteinatlas.org/ENSG00000001084/single+cell+type" TargetMode="External" /><Relationship Type="http://schemas.openxmlformats.org/officeDocument/2006/relationships/hyperlink" Id="rId91" Target="https://www.proteinatlas.org/ENSG00000001084/subcellular" TargetMode="External" /><Relationship Type="http://schemas.openxmlformats.org/officeDocument/2006/relationships/hyperlink" Id="rId96" Target="https://www.proteinatlas.org/ENSG00000001084/tissue" TargetMode="External" /><Relationship Type="http://schemas.openxmlformats.org/officeDocument/2006/relationships/hyperlink" Id="rId36" Target="https://www.uniprot.org/uniprotkb/P19468" TargetMode="External" /><Relationship Type="http://schemas.openxmlformats.org/officeDocument/2006/relationships/hyperlink" Id="rId35" Target="https://www.uniprot.org/uniprotkb/P48506" TargetMode="External" /><Relationship Type="http://schemas.openxmlformats.org/officeDocument/2006/relationships/hyperlink" Id="rId38" Target="https://www.wikigenes.org/e/gene/e/25283.html" TargetMode="External" /><Relationship Type="http://schemas.openxmlformats.org/officeDocument/2006/relationships/hyperlink" Id="rId37" Target="https://www.wikigenes.org/e/gene/e/272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2025-03-12T03:42:59Z</dcterms:created>
  <dcterms:modified xsi:type="dcterms:W3CDTF">2025-03-12T03:42:59Z</dcterms:modified>
</cp:coreProperties>
</file>

<file path=docProps/custom.xml><?xml version="1.0" encoding="utf-8"?>
<Properties xmlns="http://schemas.openxmlformats.org/officeDocument/2006/custom-properties" xmlns:vt="http://schemas.openxmlformats.org/officeDocument/2006/docPropsVTypes"/>
</file>