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Pleckstrin Homology Like Domain Family A Member 3, TIH1, Pleckstrin Homology-Like Domain Family A Member 2, Pleckstrin Homology-Like Domain Family A Member 3, TDAG51/Ipl Homolog 1 [</w:t>
      </w:r>
      <w:hyperlink r:id="rId20">
        <w:r>
          <w:rPr>
            <w:rStyle w:val="Hyperlink"/>
          </w:rPr>
          <w:t xml:space="preserve">https://www.genecards.org/cgi-bin/carddisp.pl?gene=PHLDA3&amp;keywords=Phlda3</w:t>
        </w:r>
      </w:hyperlink>
      <w:r>
        <w:t xml:space="preserve">]</w:t>
      </w:r>
    </w:p>
    <w:bookmarkEnd w:id="21"/>
    <w:bookmarkStart w:id="24" w:name="X4adf9051cadc80e887225e41233ad6cd2885f45"/>
    <w:p>
      <w:pPr>
        <w:pStyle w:val="Heading1"/>
      </w:pPr>
      <w:r>
        <w:t xml:space="preserve">2. Association with Toxicity and/or Disease at a Transcriptional Level</w:t>
      </w:r>
    </w:p>
    <w:p>
      <w:pPr>
        <w:numPr>
          <w:ilvl w:val="0"/>
          <w:numId w:val="1002"/>
        </w:numPr>
        <w:pStyle w:val="Compact"/>
      </w:pPr>
      <w:r>
        <w:t xml:space="preserve">Single-cell RNA sequencing and gene expression analyses in aged rat and mouse hepatocytes revealed increased mRNA expression levels of Phlda3 in senescent cells. Doxorubicin-induced premature senescence also elevated Phlda3 mRNA expression in primary hepatocytes and young mouse livers [PMID: 37648885].</w:t>
      </w:r>
    </w:p>
    <w:p>
      <w:pPr>
        <w:numPr>
          <w:ilvl w:val="0"/>
          <w:numId w:val="1002"/>
        </w:numPr>
        <w:pStyle w:val="Compact"/>
      </w:pPr>
      <w:r>
        <w:t xml:space="preserve">In patients with acute liver failure, liver cirrhosis, or HCV-induced liver injury, PHLDA3 is upregulated concurrently with ER stress markers, correlating with hepatocyte injury severity [PMID: 25966993].</w:t>
      </w:r>
    </w:p>
    <w:p>
      <w:pPr>
        <w:numPr>
          <w:ilvl w:val="0"/>
          <w:numId w:val="1002"/>
        </w:numPr>
        <w:pStyle w:val="Compact"/>
      </w:pPr>
      <w:r>
        <w:t xml:space="preserve">qPCR analysis showed that phlda3 gene expression in rat liver tissues was altered significantly after exposure to genotoxic hepatocarcinogens (diethylnitrosamine, 2,6-dinitrotoluene) and a non-genotoxic hepatocarcinogen (di(2-ethylhexyl)phthalate). The altered phlda3 expression, along with other genes, implicated the DNA damage response pathway mediated by Tp53 and the induction of apoptosis [PMID: 23183053, PMID: 22634710].</w:t>
      </w:r>
    </w:p>
    <w:p>
      <w:pPr>
        <w:numPr>
          <w:ilvl w:val="0"/>
          <w:numId w:val="1002"/>
        </w:numPr>
        <w:pStyle w:val="Compact"/>
      </w:pPr>
      <w:r>
        <w:t xml:space="preserve">Phlda3 mRNA expression was analyzed in rats exposed to genotoxic (GTHC) and non-genotoxic hepatocarcinogens (NGTHC), as well as non-genotoxic non-hepatocarcinogens (NGTNHC, and showed differential gene expression changes between GTHC and both NGTHC and NGTNHC at various time points, indicating that Phlda3 is among the useful markers for discriminating genotoxic hepatocarcinogens in rats [</w:t>
      </w:r>
      <w:hyperlink r:id="rId22">
        <w:r>
          <w:rPr>
            <w:rStyle w:val="Hyperlink"/>
          </w:rPr>
          <w:t xml:space="preserve">PMID: 30678831</w:t>
        </w:r>
      </w:hyperlink>
      <w:r>
        <w:t xml:space="preserve">].</w:t>
      </w:r>
    </w:p>
    <w:p>
      <w:pPr>
        <w:numPr>
          <w:ilvl w:val="0"/>
          <w:numId w:val="1002"/>
        </w:numPr>
        <w:pStyle w:val="Compact"/>
      </w:pPr>
      <w:r>
        <w:t xml:space="preserve">Phlda3 expression was significantly changed in liver of F344 rats after 1,4-dioxane (DO) treatment [</w:t>
      </w:r>
      <w:hyperlink r:id="rId23">
        <w:r>
          <w:rPr>
            <w:rStyle w:val="Hyperlink"/>
          </w:rPr>
          <w:t xml:space="preserve">PMID: 30173864</w:t>
        </w:r>
      </w:hyperlink>
      <w:r>
        <w:t xml:space="preserve">].</w:t>
      </w:r>
    </w:p>
    <w:bookmarkEnd w:id="24"/>
    <w:bookmarkStart w:id="25" w:name="summary-of-protein-family-and-structure"/>
    <w:p>
      <w:pPr>
        <w:pStyle w:val="Heading1"/>
      </w:pPr>
      <w:r>
        <w:t xml:space="preserve">3. Summary of Protein Family and Structure</w:t>
      </w:r>
    </w:p>
    <w:p>
      <w:pPr>
        <w:numPr>
          <w:ilvl w:val="0"/>
          <w:numId w:val="1003"/>
        </w:numPr>
        <w:pStyle w:val="Compact"/>
      </w:pPr>
      <w:r>
        <w:t xml:space="preserve">Protein Accession: Q9Y5J5</w:t>
      </w:r>
    </w:p>
    <w:p>
      <w:pPr>
        <w:numPr>
          <w:ilvl w:val="0"/>
          <w:numId w:val="1003"/>
        </w:numPr>
        <w:pStyle w:val="Compact"/>
      </w:pPr>
      <w:r>
        <w:t xml:space="preserve">Size: 127 amino acids</w:t>
      </w:r>
    </w:p>
    <w:p>
      <w:pPr>
        <w:numPr>
          <w:ilvl w:val="0"/>
          <w:numId w:val="1003"/>
        </w:numPr>
        <w:pStyle w:val="Compact"/>
      </w:pPr>
      <w:r>
        <w:t xml:space="preserve">Molecular mass: 13891 Da</w:t>
      </w:r>
    </w:p>
    <w:p>
      <w:pPr>
        <w:numPr>
          <w:ilvl w:val="0"/>
          <w:numId w:val="1003"/>
        </w:numPr>
        <w:pStyle w:val="Compact"/>
      </w:pPr>
      <w:r>
        <w:t xml:space="preserve">Domains: PH-like_dom_sf, PH_domain, PHLA1/2/3</w:t>
      </w:r>
    </w:p>
    <w:p>
      <w:pPr>
        <w:numPr>
          <w:ilvl w:val="0"/>
          <w:numId w:val="1003"/>
        </w:numPr>
        <w:pStyle w:val="Compact"/>
      </w:pPr>
      <w:r>
        <w:t xml:space="preserve">Blocks: Pleckstrin-like</w:t>
      </w:r>
    </w:p>
    <w:p>
      <w:pPr>
        <w:numPr>
          <w:ilvl w:val="0"/>
          <w:numId w:val="1003"/>
        </w:numPr>
        <w:pStyle w:val="Compact"/>
      </w:pPr>
      <w:r>
        <w:t xml:space="preserve">Family: Belongs to the PHLDA3 family</w:t>
      </w:r>
    </w:p>
    <w:p>
      <w:pPr>
        <w:numPr>
          <w:ilvl w:val="0"/>
          <w:numId w:val="1003"/>
        </w:numPr>
        <w:pStyle w:val="Compact"/>
      </w:pPr>
      <w:r>
        <w:t xml:space="preserve">PHLDA3 is a p53 target gene that encodes a PH domain-only protein. PHLDA3 competes with the PH domain of Akt for binding of membrane lipids, thereby inhibiting Akt translocation to the cellular membrane and activation. PHLDA3 Induces Apoptosis through Its PH Domain [PMID: 19203586].</w:t>
      </w:r>
    </w:p>
    <w:p>
      <w:pPr>
        <w:numPr>
          <w:ilvl w:val="0"/>
          <w:numId w:val="1003"/>
        </w:numPr>
        <w:pStyle w:val="Compact"/>
      </w:pPr>
      <w:r>
        <w:t xml:space="preserve">PHLDA3 is a tumor suppressor protein that inhibits Akt activation by competing for PIP3 binding. Loss-of-heterozygosity and DNA methylation at the PHLDA3 locus, which suppress PHLDA3 transcription, were frequently observed in Pancreatic neuroendocrine tumors (PanNET) and lung neuroendocrine tumors (NET), suggesting a commonality in NETs [PMID: 32521808, PMID: 28295876].</w:t>
      </w:r>
    </w:p>
    <w:p>
      <w:pPr>
        <w:numPr>
          <w:ilvl w:val="0"/>
          <w:numId w:val="1003"/>
        </w:numPr>
        <w:pStyle w:val="Compact"/>
      </w:pPr>
      <w:r>
        <w:t xml:space="preserve">PHLDA3 functions as a blockage of iPSCs generation by activating the Akt-GSK3beta pathway. PHLDA3 acts as a member of the regulatory network of somatic cell reprogramming [PMID: 28588267].</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PHLDA3</w:t>
      </w:r>
      <w:r>
        <w:t xml:space="preserve"> </w:t>
      </w:r>
      <w:r>
        <w:t xml:space="preserve">Pleckstrin homology-like domain family A member 3; p53/TP53-regulated repressor of Akt/AKT1 signaling. Represses AKT1 by preventing AKT1-binding to membrane lipids, thereby inhibiting AKT1 translocation to the cellular membrane and activation. Contributes to p53/TP53-dependent apoptosis by repressing AKT1 activity. Its direct transcription regulation by p53/TP53 may explain how p53/TP53 can negatively regulate AKT1. May act as a tumor suppressor. Belongs to the PHLDA3 family. [PMID: 17353931, PMID: 17353931]</w:t>
      </w:r>
    </w:p>
    <w:p>
      <w:pPr>
        <w:numPr>
          <w:ilvl w:val="0"/>
          <w:numId w:val="1004"/>
        </w:numPr>
        <w:pStyle w:val="Compact"/>
      </w:pPr>
      <w:r>
        <w:rPr>
          <w:bCs/>
          <w:b/>
        </w:rPr>
        <w:t xml:space="preserve">AHSA1</w:t>
      </w:r>
      <w:r>
        <w:t xml:space="preserve"> </w:t>
      </w:r>
      <w:r>
        <w:t xml:space="preserve">Activator of 90 kDa heat shock protein ATPase homolog 1; Acts as a co-chaperone of HSP90AA1. Activates the ATPase activity of HSP90AA1 leading to increase in its chaperone activity. Competes with the inhibitory co- chaperone FNIP1 for binding to HSP90AA1, thereby providing a reciprocal regulatory mechanism for chaperoning of client proteins. Competes with the inhibitory co-chaperone TSC1 for binding to HSP90AA1, thereby providing a reciprocal regulatory mechanism for chaperoning of client proteins. [PMID: 17353931]</w:t>
      </w:r>
    </w:p>
    <w:p>
      <w:pPr>
        <w:numPr>
          <w:ilvl w:val="0"/>
          <w:numId w:val="1004"/>
        </w:numPr>
        <w:pStyle w:val="Compact"/>
      </w:pPr>
      <w:r>
        <w:rPr>
          <w:bCs/>
          <w:b/>
        </w:rPr>
        <w:t xml:space="preserve">RARS2</w:t>
      </w:r>
      <w:r>
        <w:t xml:space="preserve"> </w:t>
      </w:r>
      <w:r>
        <w:t xml:space="preserve">Probable arginine–tRNA ligase, mitochondrial; arginyl-tRNA synthetase 2, mitochondrial. [PMID: 17353931]</w:t>
      </w:r>
    </w:p>
    <w:p>
      <w:pPr>
        <w:numPr>
          <w:ilvl w:val="0"/>
          <w:numId w:val="1004"/>
        </w:numPr>
        <w:pStyle w:val="Compact"/>
      </w:pPr>
      <w:r>
        <w:rPr>
          <w:bCs/>
          <w:b/>
        </w:rPr>
        <w:t xml:space="preserve">SF3B6</w:t>
      </w:r>
      <w:r>
        <w:t xml:space="preserve"> </w:t>
      </w:r>
      <w:r>
        <w:t xml:space="preserve">Splicing factor 3B subunit 6; Involved in pre-mRNA splicing as a component of the splicing factor SF3B complex. SF3B complex is required for</w:t>
      </w:r>
      <w:r>
        <w:t xml:space="preserve"> </w:t>
      </w:r>
      <w:r>
        <w:t xml:space="preserve">‘</w:t>
      </w:r>
      <w:r>
        <w:t xml:space="preserve">A</w:t>
      </w:r>
      <w:r>
        <w:t xml:space="preserve">’</w:t>
      </w:r>
      <w:r>
        <w:t xml:space="preserve"> </w:t>
      </w:r>
      <w:r>
        <w:t xml:space="preserve">complex assembly formed by the stable binding of U2 snRNP to the branchpoint sequence (BPS) in pre-mRNA. Directly contacts the pre-mRNA branch site adenosine for the first catalytic step of splicing. [PMID: 17353931]</w:t>
      </w:r>
    </w:p>
    <w:p>
      <w:pPr>
        <w:numPr>
          <w:ilvl w:val="0"/>
          <w:numId w:val="1004"/>
        </w:numPr>
        <w:pStyle w:val="Compact"/>
      </w:pPr>
      <w:r>
        <w:rPr>
          <w:bCs/>
          <w:b/>
        </w:rPr>
        <w:t xml:space="preserve">SEC63</w:t>
      </w:r>
      <w:r>
        <w:t xml:space="preserve"> </w:t>
      </w:r>
      <w:r>
        <w:t xml:space="preserve">Translocation protein SEC63 homolog; Mediates cotranslational and post-translational transport of certain precursor polypeptides across endoplasmic reticulum (ER). Proposed to play an auxiliary role in recognition of precursors with short and apolar signal peptides. May cooperate with SEC62 and HSPA5/BiP to facilitate targeting of small presecretory proteins into the SEC61 channel-forming translocon complex, triggering channel opening for polypeptide translocation to the ER lumen. [PMID: 17353931]</w:t>
      </w:r>
    </w:p>
    <w:p>
      <w:pPr>
        <w:numPr>
          <w:ilvl w:val="0"/>
          <w:numId w:val="1004"/>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17353931]</w:t>
      </w:r>
    </w:p>
    <w:p>
      <w:pPr>
        <w:numPr>
          <w:ilvl w:val="0"/>
          <w:numId w:val="1004"/>
        </w:numPr>
        <w:pStyle w:val="Compact"/>
      </w:pPr>
      <w:r>
        <w:rPr>
          <w:bCs/>
          <w:b/>
        </w:rPr>
        <w:t xml:space="preserve">SAAL1</w:t>
      </w:r>
      <w:r>
        <w:t xml:space="preserve"> </w:t>
      </w:r>
      <w:r>
        <w:t xml:space="preserve">Protein SAAL1; Plays a role in promoting the proliferation of synovial fibroblasts in response to proinflammatory stimuli. [PMID: 17353931]</w:t>
      </w:r>
    </w:p>
    <w:p>
      <w:pPr>
        <w:numPr>
          <w:ilvl w:val="0"/>
          <w:numId w:val="1004"/>
        </w:numPr>
        <w:pStyle w:val="Compact"/>
      </w:pPr>
      <w:r>
        <w:rPr>
          <w:bCs/>
          <w:b/>
        </w:rPr>
        <w:t xml:space="preserve">RPN2</w:t>
      </w:r>
      <w:r>
        <w:t xml:space="preserve"> </w:t>
      </w:r>
      <w:r>
        <w:t xml:space="preserve">Dolichyl-diphosphooligosaccharide–protein glycosyltransferase subunit 2;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[PMID: 17353931]</w:t>
      </w:r>
    </w:p>
    <w:p>
      <w:pPr>
        <w:numPr>
          <w:ilvl w:val="0"/>
          <w:numId w:val="1004"/>
        </w:numPr>
        <w:pStyle w:val="Compact"/>
      </w:pPr>
      <w:r>
        <w:rPr>
          <w:bCs/>
          <w:b/>
        </w:rPr>
        <w:t xml:space="preserve">RPL38</w:t>
      </w:r>
      <w:r>
        <w:t xml:space="preserve"> </w:t>
      </w:r>
      <w:r>
        <w:t xml:space="preserve">Ribosomal protein L38; Belongs to the eukaryotic ribosomal protein eL38 family. [PMID: 17353931]</w:t>
      </w:r>
    </w:p>
    <w:p>
      <w:pPr>
        <w:numPr>
          <w:ilvl w:val="0"/>
          <w:numId w:val="1004"/>
        </w:numPr>
        <w:pStyle w:val="Compact"/>
      </w:pPr>
      <w:r>
        <w:rPr>
          <w:bCs/>
          <w:b/>
        </w:rPr>
        <w:t xml:space="preserve">RFXANK</w:t>
      </w:r>
      <w:r>
        <w:t xml:space="preserve"> </w:t>
      </w:r>
      <w:r>
        <w:t xml:space="preserve">DNA-binding protein RFXANK; Activates transcription from class II MHC promoters. Activation requires the activity of the MHC class II transactivator/CIITA. May regulate other genes in the cell. RFX binds the X1 box of MHC-II promoters. May also potentiate the activation of RAF1 (By similarity). [PMID: 17353931]</w:t>
      </w:r>
    </w:p>
    <w:p>
      <w:pPr>
        <w:numPr>
          <w:ilvl w:val="0"/>
          <w:numId w:val="1004"/>
        </w:numPr>
        <w:pStyle w:val="Compact"/>
      </w:pPr>
      <w:r>
        <w:rPr>
          <w:bCs/>
          <w:b/>
        </w:rPr>
        <w:t xml:space="preserve">RFC3</w:t>
      </w:r>
      <w:r>
        <w:t xml:space="preserve"> </w:t>
      </w:r>
      <w:r>
        <w:t xml:space="preserve">Replication factor C subunit 3; The elongation of primed DNA templates by DNA polymerase delta and epsilon requires the action of the accessory proteins proliferating cell nuclear antigen (PCNA) and activator 1. [PMID: 17353931]</w:t>
      </w:r>
    </w:p>
    <w:p>
      <w:pPr>
        <w:numPr>
          <w:ilvl w:val="0"/>
          <w:numId w:val="1004"/>
        </w:numPr>
        <w:pStyle w:val="Compact"/>
      </w:pPr>
      <w:r>
        <w:rPr>
          <w:bCs/>
          <w:b/>
        </w:rPr>
        <w:t xml:space="preserve">RFC2</w:t>
      </w:r>
      <w:r>
        <w:t xml:space="preserve"> </w:t>
      </w:r>
      <w:r>
        <w:t xml:space="preserve">Replication factor C subunit 2; The elongation of primed DNA templates by DNA polymerase delta and epsilon requires the action of the accessory proteins proliferating cell nuclear antigen (PCNA) and activator 1. This subunit binds ATP (By similarity). [PMID: 17353931]</w:t>
      </w:r>
    </w:p>
    <w:p>
      <w:pPr>
        <w:numPr>
          <w:ilvl w:val="0"/>
          <w:numId w:val="1004"/>
        </w:numPr>
        <w:pStyle w:val="Compact"/>
      </w:pPr>
      <w:r>
        <w:rPr>
          <w:bCs/>
          <w:b/>
        </w:rPr>
        <w:t xml:space="preserve">RAB5IF</w:t>
      </w:r>
      <w:r>
        <w:t xml:space="preserve"> </w:t>
      </w:r>
      <w:r>
        <w:t xml:space="preserve">RAB5 interacting factor. [PMID: 17353931]</w:t>
      </w:r>
    </w:p>
    <w:p>
      <w:pPr>
        <w:numPr>
          <w:ilvl w:val="0"/>
          <w:numId w:val="1004"/>
        </w:numPr>
        <w:pStyle w:val="Compact"/>
      </w:pPr>
      <w:r>
        <w:rPr>
          <w:bCs/>
          <w:b/>
        </w:rPr>
        <w:t xml:space="preserve">NME3</w:t>
      </w:r>
      <w:r>
        <w:t xml:space="preserve"> </w:t>
      </w:r>
      <w:r>
        <w:t xml:space="preserve">Nucleoside diphosphate kinase 3; Major role in the synthesis of nucleoside triphosphates other than ATP. The ATP gamma phosphate is transferred to the NDP beta phosphate via a ping-pong mechanism, using a phosphorylated active-site intermediate. Probably has a role in normal hematopoiesis by inhibition of granulocyte differentiation and induction of apoptosis; Belongs to the NDK family. [PMID: 17353931]</w:t>
      </w:r>
    </w:p>
    <w:p>
      <w:pPr>
        <w:numPr>
          <w:ilvl w:val="0"/>
          <w:numId w:val="1004"/>
        </w:numPr>
        <w:pStyle w:val="Compact"/>
      </w:pPr>
      <w:r>
        <w:rPr>
          <w:bCs/>
          <w:b/>
        </w:rPr>
        <w:t xml:space="preserve">QARS1</w:t>
      </w:r>
      <w:r>
        <w:t xml:space="preserve"> </w:t>
      </w:r>
      <w:r>
        <w:t xml:space="preserve">Glutamine–tRNA ligase; Glutamine–tRNA ligase. Plays a critical role in brain development. Belongs to the class-I aminoacyl-tRNA synthetase family. [PMID: 17353931]</w:t>
      </w:r>
    </w:p>
    <w:p>
      <w:pPr>
        <w:numPr>
          <w:ilvl w:val="0"/>
          <w:numId w:val="1004"/>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17353931]</w:t>
      </w:r>
    </w:p>
    <w:p>
      <w:pPr>
        <w:numPr>
          <w:ilvl w:val="0"/>
          <w:numId w:val="1004"/>
        </w:numPr>
        <w:pStyle w:val="Compact"/>
      </w:pPr>
      <w:r>
        <w:rPr>
          <w:bCs/>
          <w:b/>
        </w:rPr>
        <w:t xml:space="preserve">POLR1C</w:t>
      </w:r>
      <w:r>
        <w:t xml:space="preserve"> </w:t>
      </w:r>
      <w:r>
        <w:t xml:space="preserve">DNA-directed RNA polymerases I and III subunit RPAC1; DNA-dependent RNA polymerase catalyzes the transcription of DNA into RNA using the four ribonucleoside triphosphates as substrates. Common component of RNA polymerases I and III which synthesize ribosomal RNA precursors and small RNAs, such as 5S rRNA and tRNAs, respectively. RPAC1 is part of the Pol core element with the central large cleft and probably a clamp element that moves to open and close the cleft (By similarity). [PMID: 17353931]</w:t>
      </w:r>
    </w:p>
    <w:p>
      <w:pPr>
        <w:numPr>
          <w:ilvl w:val="0"/>
          <w:numId w:val="1004"/>
        </w:numPr>
        <w:pStyle w:val="Compact"/>
      </w:pPr>
      <w:r>
        <w:rPr>
          <w:bCs/>
          <w:b/>
        </w:rPr>
        <w:t xml:space="preserve">PDXDC1</w:t>
      </w:r>
      <w:r>
        <w:t xml:space="preserve"> </w:t>
      </w:r>
      <w:r>
        <w:t xml:space="preserve">Pyridoxal-dependent decarboxylase domain-containing protein 1; Pyridoxal dependent decarboxylase domain containing 1; Belongs to the group II decarboxylase family. [PMID: 17353931]</w:t>
      </w:r>
    </w:p>
    <w:p>
      <w:pPr>
        <w:numPr>
          <w:ilvl w:val="0"/>
          <w:numId w:val="1004"/>
        </w:numPr>
        <w:pStyle w:val="Compact"/>
      </w:pPr>
      <w:r>
        <w:rPr>
          <w:bCs/>
          <w:b/>
        </w:rPr>
        <w:t xml:space="preserve">PDCD6IP</w:t>
      </w:r>
      <w:r>
        <w:t xml:space="preserve"> </w:t>
      </w:r>
      <w:r>
        <w:t xml:space="preserve">Programmed cell death 6-interacting protein; Multifunctional protein involved in endocytosis, multivesicular body biogenesis, membrane repair, cytokinesis, apoptosis and maintenance of tight junction integrity. Class E VPS protein involved in concentration and sorting of cargo proteins of the multivesicular body (MVB) for incorporation into intralumenal vesicles (ILVs) that are generated by invagination and scission from the limiting membrane of the endosome. Binds to the phospholipid lysobisphosphatidic acid (LBPA) which is abundant in MVBs internal membranes. [PMID: 17353931]</w:t>
      </w:r>
    </w:p>
    <w:p>
      <w:pPr>
        <w:numPr>
          <w:ilvl w:val="0"/>
          <w:numId w:val="1004"/>
        </w:numPr>
        <w:pStyle w:val="Compact"/>
      </w:pPr>
      <w:r>
        <w:rPr>
          <w:bCs/>
          <w:b/>
        </w:rPr>
        <w:t xml:space="preserve">NUP93</w:t>
      </w:r>
      <w:r>
        <w:t xml:space="preserve"> </w:t>
      </w:r>
      <w:r>
        <w:t xml:space="preserve">Nuclear pore complex protein Nup93; Plays a role in the nuclear pore complex (NPC) assembly and/or maintenance. May anchor nucleoporins, but not NUP153 and TPR, to the NPC. During renal development, regulates podocyte migration and proliferation through SMAD4 signaling. [PMID: 17353931]</w:t>
      </w:r>
    </w:p>
    <w:p>
      <w:pPr>
        <w:numPr>
          <w:ilvl w:val="0"/>
          <w:numId w:val="1004"/>
        </w:numPr>
        <w:pStyle w:val="Compact"/>
      </w:pPr>
      <w:r>
        <w:rPr>
          <w:bCs/>
          <w:b/>
        </w:rPr>
        <w:t xml:space="preserve">NUP205</w:t>
      </w:r>
      <w:r>
        <w:t xml:space="preserve"> </w:t>
      </w:r>
      <w:r>
        <w:t xml:space="preserve">Nuclear pore complex protein Nup205; Plays a role in the nuclear pore complex (NPC) assembly and/or maintenance. May anchor NUP62 and other nucleoporins, but not NUP153 and TPR, to the NPC. [PMID: 17353931]</w:t>
      </w:r>
    </w:p>
    <w:p>
      <w:pPr>
        <w:numPr>
          <w:ilvl w:val="0"/>
          <w:numId w:val="1004"/>
        </w:numPr>
        <w:pStyle w:val="Compact"/>
      </w:pPr>
      <w:r>
        <w:rPr>
          <w:bCs/>
          <w:b/>
        </w:rPr>
        <w:t xml:space="preserve">NUBP2</w:t>
      </w:r>
      <w:r>
        <w:t xml:space="preserve"> </w:t>
      </w:r>
      <w:r>
        <w:t xml:space="preserve">Cytosolic Fe-S cluster assembly factor NUBP2; Component of the cytosolic iron-sulfur (Fe/S) protein assembly (CIA) machinery. Required for maturation of extramitochondrial Fe-S proteins. The NUBP1-NUBP2 heterotetramer forms a Fe-S scaffold complex, mediating the de novo assembly of an Fe-S cluster and its transfer to target apoproteins. Negatively regulates cilium formation and structure. [PMID: 17353931]</w:t>
      </w:r>
    </w:p>
    <w:p>
      <w:pPr>
        <w:numPr>
          <w:ilvl w:val="0"/>
          <w:numId w:val="1004"/>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[PMID: 17353931]</w:t>
      </w:r>
    </w:p>
    <w:p>
      <w:pPr>
        <w:numPr>
          <w:ilvl w:val="0"/>
          <w:numId w:val="1004"/>
        </w:numPr>
        <w:pStyle w:val="Compact"/>
      </w:pPr>
      <w:r>
        <w:rPr>
          <w:bCs/>
          <w:b/>
        </w:rPr>
        <w:t xml:space="preserve">SFXN1</w:t>
      </w:r>
      <w:r>
        <w:t xml:space="preserve"> </w:t>
      </w:r>
      <w:r>
        <w:t xml:space="preserve">Sideroflexin-1; Mitochondrial serine transporter that mediates transport of serine into mitochondria, an important step of the one-carbon metabolism pathway. Mitochondrial serine is converted to glycine and formate, which then exits to the cytosol where it is used to generate the charged folates that serve as one-carbon donors. Transports both D-serine and L-serine. Also able to transport other amino-acids, such as alanine. [PMID: 17353931]</w:t>
      </w:r>
    </w:p>
    <w:p>
      <w:pPr>
        <w:numPr>
          <w:ilvl w:val="0"/>
          <w:numId w:val="1004"/>
        </w:numPr>
        <w:pStyle w:val="Compact"/>
      </w:pPr>
      <w:r>
        <w:rPr>
          <w:bCs/>
          <w:b/>
        </w:rPr>
        <w:t xml:space="preserve">SLC25A12</w:t>
      </w:r>
      <w:r>
        <w:t xml:space="preserve"> </w:t>
      </w:r>
      <w:r>
        <w:t xml:space="preserve">Calcium-binding mitochondrial carrier protein Aralar1; Mitochondrial and calcium-binding carrier that catalyzes the calcium-dependent exchange of cytoplasmic glutamate with mitochondrial aspartate across the mitochondrial inner membrane. May have a function in the urea cycle. [PMID: 17353931]</w:t>
      </w:r>
    </w:p>
    <w:p>
      <w:pPr>
        <w:numPr>
          <w:ilvl w:val="0"/>
          <w:numId w:val="1004"/>
        </w:numPr>
        <w:pStyle w:val="Compact"/>
      </w:pPr>
      <w:r>
        <w:rPr>
          <w:bCs/>
          <w:b/>
        </w:rPr>
        <w:t xml:space="preserve">SLC3A2</w:t>
      </w:r>
      <w:r>
        <w:t xml:space="preserve"> </w:t>
      </w:r>
      <w:r>
        <w:t xml:space="preserve">4F2 cell-surface antigen heavy chain; Component of several heterodimeric amino acid transporter complexes. The precise substrate specificity depends on the other subunit in the heterodimer. The heterodimer with SLC3A2 functions as sodium-independent, high-affinity transporter that mediates uptake of large neutral amino acids such as phenylalanine, tyrosine, L-DOPA, leucine, histidine, methionine and tryptophan. The complexes with SLC7A6 and SLC7A7 mediate uptake of dibasic amino acids. The complexes function as amino acid exchangers. [PMID: 17353931]</w:t>
      </w:r>
    </w:p>
    <w:p>
      <w:pPr>
        <w:numPr>
          <w:ilvl w:val="0"/>
          <w:numId w:val="1004"/>
        </w:numPr>
        <w:pStyle w:val="Compact"/>
      </w:pPr>
      <w:r>
        <w:rPr>
          <w:bCs/>
          <w:b/>
        </w:rPr>
        <w:t xml:space="preserve">TRIO</w:t>
      </w:r>
      <w:r>
        <w:t xml:space="preserve"> </w:t>
      </w:r>
      <w:r>
        <w:t xml:space="preserve">Triple functional domain protein; Guanine nucleotide exchange factor (GEF) for RHOA and RAC1 GTPases. Involved in coordinating actin remodeling, which is necessary for cell migration and growth. In developing hippocampal neurons, limits dendrite formation, without affecting the establishment of axon polarity. Once dendrites are formed, involved in the control of synaptic function by regulating the endocytosis of AMPA- selective glutamate receptors (AMPARs) at CA1 excitatory synapses (By similarity). May act as a regulator of adipogenesis (By similarity). [PMID: 17353931]</w:t>
      </w:r>
    </w:p>
    <w:p>
      <w:pPr>
        <w:numPr>
          <w:ilvl w:val="0"/>
          <w:numId w:val="1004"/>
        </w:numPr>
        <w:pStyle w:val="Compact"/>
      </w:pPr>
      <w:r>
        <w:rPr>
          <w:bCs/>
          <w:b/>
        </w:rPr>
        <w:t xml:space="preserve">XPO5</w:t>
      </w:r>
      <w:r>
        <w:t xml:space="preserve"> </w:t>
      </w:r>
      <w:r>
        <w:t xml:space="preserve">Exportin-5; Mediates the nuclear export of proteins bearing a double- stranded RNA binding domain (dsRBD) and double-stranded RNAs (cargos). XPO5 in the nucleus binds cooperatively to the RNA and to the GTPase Ran in its active GTP-bound form. Proteins containing dsRBDs can associate with this trimeric complex through the RNA. Docking of this complex to the nuclear pore complex (NPC) is mediated through binding to nucleoporins. [PMID: 17353931]</w:t>
      </w:r>
    </w:p>
    <w:p>
      <w:pPr>
        <w:numPr>
          <w:ilvl w:val="0"/>
          <w:numId w:val="1004"/>
        </w:numPr>
        <w:pStyle w:val="Compact"/>
      </w:pPr>
      <w:r>
        <w:rPr>
          <w:bCs/>
          <w:b/>
        </w:rPr>
        <w:t xml:space="preserve">XPO4</w:t>
      </w:r>
      <w:r>
        <w:t xml:space="preserve"> </w:t>
      </w:r>
      <w:r>
        <w:t xml:space="preserve">Exportin-4; Mediates the nuclear export of proteins (cargos) with broad substrate specificity. In the nucleus binds cooperatively to its cargo and to the GTPase Ran in its active GTP-bound form. Docking of this trimeric complex to the nuclear pore complex (NPC) is mediated through binding to nucleoporins. Upon transit of a nuclear export complex into the cytoplasm, disassembling of the complex and hydrolysis of Ran-GTP to Ran-GDP (induced by RANBP1 and RANGAP1, respectively) cause release of the cargo from the export receptor. [PMID: 17353931]</w:t>
      </w:r>
    </w:p>
    <w:p>
      <w:pPr>
        <w:numPr>
          <w:ilvl w:val="0"/>
          <w:numId w:val="1004"/>
        </w:numPr>
        <w:pStyle w:val="Compact"/>
      </w:pPr>
      <w:r>
        <w:rPr>
          <w:bCs/>
          <w:b/>
        </w:rPr>
        <w:t xml:space="preserve">WWC3</w:t>
      </w:r>
      <w:r>
        <w:t xml:space="preserve"> </w:t>
      </w:r>
      <w:r>
        <w:t xml:space="preserve">Protein WWC3; WWC family member 3. [PMID: 17353931]</w:t>
      </w:r>
    </w:p>
    <w:p>
      <w:pPr>
        <w:numPr>
          <w:ilvl w:val="0"/>
          <w:numId w:val="1004"/>
        </w:numPr>
        <w:pStyle w:val="Compact"/>
      </w:pPr>
      <w:r>
        <w:rPr>
          <w:bCs/>
          <w:b/>
        </w:rPr>
        <w:t xml:space="preserve">VAMP7</w:t>
      </w:r>
      <w:r>
        <w:t xml:space="preserve"> </w:t>
      </w:r>
      <w:r>
        <w:t xml:space="preserve">Vesicle-associated membrane protein 7; Involved in the targeting and/or fusion of transport vesicles to their target membrane during transport of proteins from the early endosome to the lysosome. Required for heterotypic fusion of late endosomes with lysosomes and homotypic lysosomal fusion. Required for calcium regulated lysosomal exocytosis. Involved in the export of chylomicrons from the endoplasmic reticulum to the cis Golgi. Required for exocytosis of mediators during eosinophil and neutrophil degranulation, and target cell killing by natural killer cells. [PMID: 17353931]</w:t>
      </w:r>
    </w:p>
    <w:p>
      <w:pPr>
        <w:numPr>
          <w:ilvl w:val="0"/>
          <w:numId w:val="1004"/>
        </w:numPr>
        <w:pStyle w:val="Compact"/>
      </w:pPr>
      <w:r>
        <w:rPr>
          <w:bCs/>
          <w:b/>
        </w:rPr>
        <w:t xml:space="preserve">UQCC3</w:t>
      </w:r>
      <w:r>
        <w:t xml:space="preserve"> </w:t>
      </w:r>
      <w:r>
        <w:t xml:space="preserve">Ubiquinol-cytochrome-c reductase complex assembly factor 3; Required for the assembly of the ubiquinol-cytochrome c reductase complex (mitochondrial respiratory chain complex III or cytochrome b-c1 complex), mediating cytochrome b recruitment and probably stabilization within the complex. Thereby, plays an important role in ATP production by mitochondria. Cardiolipin-binding protein, it may also control the cardiolipin composition of mitochondria membranes and their morphology. [PMID: 17353931]</w:t>
      </w:r>
    </w:p>
    <w:p>
      <w:pPr>
        <w:numPr>
          <w:ilvl w:val="0"/>
          <w:numId w:val="1004"/>
        </w:numPr>
        <w:pStyle w:val="Compact"/>
      </w:pPr>
      <w:r>
        <w:rPr>
          <w:bCs/>
          <w:b/>
        </w:rPr>
        <w:t xml:space="preserve">UNC45A</w:t>
      </w:r>
      <w:r>
        <w:t xml:space="preserve"> </w:t>
      </w:r>
      <w:r>
        <w:t xml:space="preserve">Protein unc-45 homolog A; Acts as co-chaperone for HSP90. Prevents the stimulation of HSP90AB1 ATPase activity by AHSA1. Positive factor in promoting PGR function in the cell. May be necessary for proper folding of myosin (Potential). Necessary for normal cell proliferation. Necessary for normal myotube formation and myosin accumulation during muscle cell development. May play a role in erythropoiesis in stroma cells in the spleen (By similarity). [PMID: 17353931]</w:t>
      </w:r>
    </w:p>
    <w:p>
      <w:pPr>
        <w:numPr>
          <w:ilvl w:val="0"/>
          <w:numId w:val="1004"/>
        </w:numPr>
        <w:pStyle w:val="Compact"/>
      </w:pPr>
      <w:r>
        <w:rPr>
          <w:bCs/>
          <w:b/>
        </w:rPr>
        <w:t xml:space="preserve">UFL1</w:t>
      </w:r>
      <w:r>
        <w:t xml:space="preserve"> </w:t>
      </w:r>
      <w:r>
        <w:t xml:space="preserve">E3 UFM1-protein ligase 1; E3 protein ligase that mediates ufmylation, the covalent attachment of the ubiquitin-like modifier UFM1 to substrate proteins, a post-translational modification on lysine residues of proteins that may play a crucial role in a number of cellular processes. Mediates DDRGK1 ufmylation and may regulate the proteasomal degradation of DDRGK1 and CDK5RAP3 thereby modulating NF-kappa-B signaling. May also play a role in nuclear receptor-mediated transcription through TRIP4 ufmylation. [PMID: 17353931]</w:t>
      </w:r>
    </w:p>
    <w:p>
      <w:pPr>
        <w:numPr>
          <w:ilvl w:val="0"/>
          <w:numId w:val="1004"/>
        </w:numPr>
        <w:pStyle w:val="Compact"/>
      </w:pPr>
      <w:r>
        <w:rPr>
          <w:bCs/>
          <w:b/>
        </w:rPr>
        <w:t xml:space="preserve">TUBGCP4</w:t>
      </w:r>
      <w:r>
        <w:t xml:space="preserve"> </w:t>
      </w:r>
      <w:r>
        <w:t xml:space="preserve">Gamma-tubulin complex component 4; Gamma-tubulin complex is necessary for microtubule nucleation at the centrosome. [PMID: 17353931]</w:t>
      </w:r>
    </w:p>
    <w:p>
      <w:pPr>
        <w:numPr>
          <w:ilvl w:val="0"/>
          <w:numId w:val="1004"/>
        </w:numPr>
        <w:pStyle w:val="Compact"/>
      </w:pPr>
      <w:r>
        <w:rPr>
          <w:bCs/>
          <w:b/>
        </w:rPr>
        <w:t xml:space="preserve">TTC27</w:t>
      </w:r>
      <w:r>
        <w:t xml:space="preserve"> </w:t>
      </w:r>
      <w:r>
        <w:t xml:space="preserve">Tetratricopeptide repeat domain 27. [PMID: 17353931]</w:t>
      </w:r>
    </w:p>
    <w:p>
      <w:pPr>
        <w:numPr>
          <w:ilvl w:val="0"/>
          <w:numId w:val="1004"/>
        </w:numPr>
        <w:pStyle w:val="Compact"/>
      </w:pPr>
      <w:r>
        <w:rPr>
          <w:bCs/>
          <w:b/>
        </w:rPr>
        <w:t xml:space="preserve">TOMM22</w:t>
      </w:r>
      <w:r>
        <w:t xml:space="preserve"> </w:t>
      </w:r>
      <w:r>
        <w:t xml:space="preserve">Mitochondrial import receptor subunit TOM22 homolog; Central receptor component of the translocase of the outer membrane of mitochondria (TOM complex) responsible for the recognition and translocation of cytosolically synthesized mitochondrial preproteins. Together with the peripheral receptor TOM20 functions as the transit peptide receptor and facilitates the movement of preproteins into the translocation pore. Required for the translocation across the mitochondrial outer membrane of cytochrome P450 monooxygenases (By similarity); Belongs to the Tom22 family. [PMID: 17353931]</w:t>
      </w:r>
    </w:p>
    <w:p>
      <w:pPr>
        <w:numPr>
          <w:ilvl w:val="0"/>
          <w:numId w:val="1004"/>
        </w:numPr>
        <w:pStyle w:val="Compact"/>
      </w:pPr>
      <w:r>
        <w:rPr>
          <w:bCs/>
          <w:b/>
        </w:rPr>
        <w:t xml:space="preserve">SMAP1</w:t>
      </w:r>
      <w:r>
        <w:t xml:space="preserve"> </w:t>
      </w:r>
      <w:r>
        <w:t xml:space="preserve">Stromal membrane-associated protein 1; GTPase activating protein that acts on ARF6. Plays a role in clathrin-dependent endocytosis. May play a role in erythropoiesis (By similarity). [PMID: 17353931]</w:t>
      </w:r>
    </w:p>
    <w:p>
      <w:pPr>
        <w:numPr>
          <w:ilvl w:val="0"/>
          <w:numId w:val="1004"/>
        </w:numPr>
        <w:pStyle w:val="Compact"/>
      </w:pPr>
      <w:r>
        <w:rPr>
          <w:bCs/>
          <w:b/>
        </w:rPr>
        <w:t xml:space="preserve">TNPO3</w:t>
      </w:r>
      <w:r>
        <w:t xml:space="preserve"> </w:t>
      </w:r>
      <w:r>
        <w:t xml:space="preserve">Transportin-3; Importin, which transports target proteins into the nucleus. Specifically mediates the nuclear import of splicing factor serine/arginine (SR) proteins, such as RBM4, SFRS1 and SFRS2, by recognizing phosphorylated SR domains. Also mediates the nuclear import of serine/arginine (SR) protein CPSF6, independently of CPSF6 phosphorylation. The nuclear import process is regulated by the small GTPase Ran that partitions between cytoplasm and nucleus in the predominantly GDP- and GTP-bound form, respectively. [PMID: 17353931]</w:t>
      </w:r>
    </w:p>
    <w:p>
      <w:pPr>
        <w:numPr>
          <w:ilvl w:val="0"/>
          <w:numId w:val="1004"/>
        </w:numPr>
        <w:pStyle w:val="Compact"/>
      </w:pPr>
      <w:r>
        <w:rPr>
          <w:bCs/>
          <w:b/>
        </w:rPr>
        <w:t xml:space="preserve">TMEM33</w:t>
      </w:r>
      <w:r>
        <w:t xml:space="preserve"> </w:t>
      </w:r>
      <w:r>
        <w:t xml:space="preserve">Transmembrane protein 33; Acts as a regulator of the tubular endoplasmic reticulum (ER) network. Suppresses the RTN3/4-induced formation of the ER tubules. Positively regulates PERK-mediated and IRE1-mediated unfolded protein response signaling. Belongs to the PER33/POM33 family. [PMID: 17353931]</w:t>
      </w:r>
    </w:p>
    <w:p>
      <w:pPr>
        <w:numPr>
          <w:ilvl w:val="0"/>
          <w:numId w:val="1004"/>
        </w:numPr>
        <w:pStyle w:val="Compact"/>
      </w:pPr>
      <w:r>
        <w:rPr>
          <w:bCs/>
          <w:b/>
        </w:rPr>
        <w:t xml:space="preserve">TMEM11</w:t>
      </w:r>
      <w:r>
        <w:t xml:space="preserve"> </w:t>
      </w:r>
      <w:r>
        <w:t xml:space="preserve">Transmembrane protein 11, mitochondrial; Plays a role in mitochondrial morphogenesis. Belongs to the TMEM11 family. [PMID: 17353931]</w:t>
      </w:r>
    </w:p>
    <w:p>
      <w:pPr>
        <w:numPr>
          <w:ilvl w:val="0"/>
          <w:numId w:val="1004"/>
        </w:numPr>
        <w:pStyle w:val="Compact"/>
      </w:pPr>
      <w:r>
        <w:rPr>
          <w:bCs/>
          <w:b/>
        </w:rPr>
        <w:t xml:space="preserve">TFB2M</w:t>
      </w:r>
      <w:r>
        <w:t xml:space="preserve"> </w:t>
      </w:r>
      <w:r>
        <w:t xml:space="preserve">Dimethyladenosine transferase 2, mitochondrial; S-adenosyl-L-methionine-dependent rRNA methyltransferase which may methylate two specific adjacent adenosines in the loop of a conserved hairpin near the 3’-end of 12S mitochondrial rRNA (Probable). Component of the mitochondrial transcription initiation complex, composed at least of TFB2M, TFAM and POLRMT that is required for basal transcription of mitochondrial DNA. [PMID: 17353931]</w:t>
      </w:r>
    </w:p>
    <w:p>
      <w:pPr>
        <w:numPr>
          <w:ilvl w:val="0"/>
          <w:numId w:val="1004"/>
        </w:numPr>
        <w:pStyle w:val="Compact"/>
      </w:pPr>
      <w:r>
        <w:rPr>
          <w:bCs/>
          <w:b/>
        </w:rPr>
        <w:t xml:space="preserve">SSR4</w:t>
      </w:r>
      <w:r>
        <w:t xml:space="preserve"> </w:t>
      </w:r>
      <w:r>
        <w:t xml:space="preserve">Translocon-associated protein subunit delta; TRAP proteins are part of a complex whose function is to bind calcium to the ER membrane and thereby regulate the retention of ER resident proteins; Belongs to the TRAP-delta family. [PMID: 17353931]</w:t>
      </w:r>
    </w:p>
    <w:p>
      <w:pPr>
        <w:numPr>
          <w:ilvl w:val="0"/>
          <w:numId w:val="1004"/>
        </w:numPr>
        <w:pStyle w:val="Compact"/>
      </w:pPr>
      <w:r>
        <w:rPr>
          <w:bCs/>
          <w:b/>
        </w:rPr>
        <w:t xml:space="preserve">SSR3</w:t>
      </w:r>
      <w:r>
        <w:t xml:space="preserve"> </w:t>
      </w:r>
      <w:r>
        <w:t xml:space="preserve">Translocon-associated protein subunit gamma; TRAP proteins are part of a complex whose function is to bind calcium to the ER membrane and thereby regulate the retention of ER resident proteins; Belongs to the TRAP-gamma family. [PMID: 17353931]</w:t>
      </w:r>
    </w:p>
    <w:p>
      <w:pPr>
        <w:numPr>
          <w:ilvl w:val="0"/>
          <w:numId w:val="1004"/>
        </w:numPr>
        <w:pStyle w:val="Compact"/>
      </w:pPr>
      <w:r>
        <w:rPr>
          <w:bCs/>
          <w:b/>
        </w:rPr>
        <w:t xml:space="preserve">SRPRB</w:t>
      </w:r>
      <w:r>
        <w:t xml:space="preserve"> </w:t>
      </w:r>
      <w:r>
        <w:t xml:space="preserve">Signal recognition particle receptor subunit beta; Component of the SRP (signal recognition particle) receptor. Ensures, in conjunction with the signal recognition particle, the correct targeting of the nascent secretory proteins to the endoplasmic reticulum membrane system. Has GTPase activity. May mediate the membrane association of SRPR (By similarity). [PMID: 17353931]</w:t>
      </w:r>
    </w:p>
    <w:p>
      <w:pPr>
        <w:numPr>
          <w:ilvl w:val="0"/>
          <w:numId w:val="1004"/>
        </w:numPr>
        <w:pStyle w:val="Compact"/>
      </w:pPr>
      <w:r>
        <w:rPr>
          <w:bCs/>
          <w:b/>
        </w:rPr>
        <w:t xml:space="preserve">SNRPF</w:t>
      </w:r>
      <w:r>
        <w:t xml:space="preserve"> </w:t>
      </w:r>
      <w:r>
        <w:t xml:space="preserve">Small nuclear ribonucleoprotein F;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3’-end processing. [PMID: 17353931]</w:t>
      </w:r>
    </w:p>
    <w:p>
      <w:pPr>
        <w:numPr>
          <w:ilvl w:val="0"/>
          <w:numId w:val="1004"/>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17353931]</w:t>
      </w:r>
    </w:p>
    <w:p>
      <w:pPr>
        <w:numPr>
          <w:ilvl w:val="0"/>
          <w:numId w:val="1004"/>
        </w:numPr>
        <w:pStyle w:val="Compact"/>
      </w:pPr>
      <w:r>
        <w:rPr>
          <w:bCs/>
          <w:b/>
        </w:rPr>
        <w:t xml:space="preserve">NOC2L</w:t>
      </w:r>
      <w:r>
        <w:t xml:space="preserve"> </w:t>
      </w:r>
      <w:r>
        <w:t xml:space="preserve">Nucleolar complex protein 2 homolog; Acts as an inhibitor of histone acetyltransferase activity; prevents acetylation of all core histones by the EP300/p300 histone acetyltransferase at p53/TP53-regulated target promoters in a histone deacetylases (HDAC)-independent manner. Acts as a transcription corepressor of p53/TP53- and TP63-mediated transactivation of the p21/CDKN1A promoter. Involved in the regulation of p53/TP53-dependent apoptosis. Associates together with TP63 isoform TA*-gamma to the p21/CDKN1A promoter. [PMID: 17353931]</w:t>
      </w:r>
    </w:p>
    <w:p>
      <w:pPr>
        <w:numPr>
          <w:ilvl w:val="0"/>
          <w:numId w:val="1004"/>
        </w:numPr>
        <w:pStyle w:val="Compact"/>
      </w:pPr>
      <w:r>
        <w:rPr>
          <w:bCs/>
          <w:b/>
        </w:rPr>
        <w:t xml:space="preserve">NDUFA6</w:t>
      </w:r>
      <w:r>
        <w:t xml:space="preserve"> </w:t>
      </w:r>
      <w:r>
        <w:t xml:space="preserve">NADH dehydrogenase [ubiquinone] 1 alpha subcomplex subunit 6; Accessory subunit of the mitochondrial membrane respiratory chain NADH dehydrogenase (Complex I), that is believed to be not involved in catalysis. Required for proper complex I assembly. Complex I functions in the transfer of electrons from NADH to the respiratory chain. The immediate electron acceptor for the enzyme is believed to be ubiquinone. [PMID: 17353931]</w:t>
      </w:r>
    </w:p>
    <w:p>
      <w:pPr>
        <w:numPr>
          <w:ilvl w:val="0"/>
          <w:numId w:val="1004"/>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4"/>
        </w:numPr>
        <w:pStyle w:val="Compact"/>
      </w:pPr>
      <w:r>
        <w:rPr>
          <w:bCs/>
          <w:b/>
        </w:rPr>
        <w:t xml:space="preserve">NCAPG2</w:t>
      </w:r>
      <w:r>
        <w:t xml:space="preserve"> </w:t>
      </w:r>
      <w:r>
        <w:t xml:space="preserve">Condensin-2 complex subunit G2; Regulatory subunit of the condensin-2 complex, a complex which establishes mitotic chromosome architecture and is involved in physical rigidity of the chromatid axis. [PMID: 17353931]</w:t>
      </w:r>
    </w:p>
    <w:p>
      <w:pPr>
        <w:numPr>
          <w:ilvl w:val="0"/>
          <w:numId w:val="1004"/>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17353931]</w:t>
      </w:r>
    </w:p>
    <w:p>
      <w:pPr>
        <w:numPr>
          <w:ilvl w:val="0"/>
          <w:numId w:val="1004"/>
        </w:numPr>
        <w:pStyle w:val="Compact"/>
      </w:pPr>
      <w:r>
        <w:rPr>
          <w:bCs/>
          <w:b/>
        </w:rPr>
        <w:t xml:space="preserve">DYNC1H1</w:t>
      </w:r>
      <w:r>
        <w:t xml:space="preserve"> </w:t>
      </w:r>
      <w:r>
        <w:t xml:space="preserve">Cytoplasmic dynein 1 heavy chain 1; Cytoplasmic dynein 1 acts as a motor for the intracellular retrograde motility of vesicles and organelles along microtubules. Dynein has ATPase activity; the force-producing power stroke is thought to occur on release of ADP. Plays a role in mitotic spindle assembly and metaphase plate congression. Belongs to the dynein heavy chain family. [PMID: 17353931]</w:t>
      </w:r>
    </w:p>
    <w:p>
      <w:pPr>
        <w:numPr>
          <w:ilvl w:val="0"/>
          <w:numId w:val="1004"/>
        </w:numPr>
        <w:pStyle w:val="Compact"/>
      </w:pPr>
      <w:r>
        <w:rPr>
          <w:bCs/>
          <w:b/>
        </w:rPr>
        <w:t xml:space="preserve">DPM1</w:t>
      </w:r>
      <w:r>
        <w:t xml:space="preserve"> </w:t>
      </w:r>
      <w:r>
        <w:t xml:space="preserve">Dolichol-phosphate mannosyltransferase subunit 1; Transfers mannose from GDP-mannose to dolichol monophosphate to form dolichol phosphate mannose (Dol-P-Man) which is the mannosyl donor in pathways leading to N-glycosylation, glycosyl phosphatidylinositol membrane anchoring, and O-mannosylation of proteins; catalytic subunit of the dolichol-phosphate mannose (DPM) synthase complex. [PMID: 17353931]</w:t>
      </w:r>
    </w:p>
    <w:p>
      <w:pPr>
        <w:numPr>
          <w:ilvl w:val="0"/>
          <w:numId w:val="1004"/>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17353931]</w:t>
      </w:r>
    </w:p>
    <w:p>
      <w:pPr>
        <w:numPr>
          <w:ilvl w:val="0"/>
          <w:numId w:val="1004"/>
        </w:numPr>
        <w:pStyle w:val="Compact"/>
      </w:pPr>
      <w:r>
        <w:rPr>
          <w:bCs/>
          <w:b/>
        </w:rPr>
        <w:t xml:space="preserve">DNAJA3</w:t>
      </w:r>
      <w:r>
        <w:t xml:space="preserve"> </w:t>
      </w:r>
      <w:r>
        <w:t xml:space="preserve">DnaJ homolog subfamily A member 3, mitochondrial; Modulates apoptotic signal transduction or effector structures within the mitochondrial matrix. Affect cytochrome C release from the mitochondria and caspase 3 activation, but not caspase 8 activation. Isoform 1 increases apoptosis triggered by both TNF and the DNA-damaging agent mytomycin C; in sharp contrast, isoform 2 suppresses apoptosis. Can modulate IFN-gamma-mediated transcriptional activity. Isoform 2 may play a role in neuromuscular junction development as an effector of the MUSK signaling pathway. [PMID: 17353931]</w:t>
      </w:r>
    </w:p>
    <w:p>
      <w:pPr>
        <w:numPr>
          <w:ilvl w:val="0"/>
          <w:numId w:val="1004"/>
        </w:numPr>
        <w:pStyle w:val="Compact"/>
      </w:pPr>
      <w:r>
        <w:rPr>
          <w:bCs/>
          <w:b/>
        </w:rPr>
        <w:t xml:space="preserve">DNAAF5</w:t>
      </w:r>
      <w:r>
        <w:t xml:space="preserve"> </w:t>
      </w:r>
      <w:r>
        <w:t xml:space="preserve">Dynein assembly factor 5, axonemal; Cytoplasmic protein involved in the delivery of the dynein machinery to the motile cilium. It is required for the assembly of the axonemal dynein inner and outer arms, two structures attached to the peripheral outer doublet A microtubule of the axoneme, that play a crucial role in cilium motility. [PMID: 17353931]</w:t>
      </w:r>
    </w:p>
    <w:p>
      <w:pPr>
        <w:numPr>
          <w:ilvl w:val="0"/>
          <w:numId w:val="1004"/>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17353931]</w:t>
      </w:r>
    </w:p>
    <w:p>
      <w:pPr>
        <w:numPr>
          <w:ilvl w:val="0"/>
          <w:numId w:val="1004"/>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17353931]</w:t>
      </w:r>
    </w:p>
    <w:p>
      <w:pPr>
        <w:numPr>
          <w:ilvl w:val="0"/>
          <w:numId w:val="1004"/>
        </w:numPr>
        <w:pStyle w:val="Compact"/>
      </w:pPr>
      <w:r>
        <w:rPr>
          <w:bCs/>
          <w:b/>
        </w:rPr>
        <w:t xml:space="preserve">COPG2</w:t>
      </w:r>
      <w:r>
        <w:t xml:space="preserve"> </w:t>
      </w:r>
      <w:r>
        <w:t xml:space="preserve">Coatomer subunit gamma-2; The coatomer is a cytosolic protein complex that binds to dilysine motifs and reversibly associates with Golgi non-clathrin- coated vesicles, which further mediate biosynthetic protein transport from the ER, via the Golgi up to the trans Golgi network. Coatomer complex is required for budding from Golgi membranes, and is essential for the retrograde Golgi-to-ER transport of dilysine-tagged proteins. [PMID: 17353931]</w:t>
      </w:r>
    </w:p>
    <w:p>
      <w:pPr>
        <w:numPr>
          <w:ilvl w:val="0"/>
          <w:numId w:val="1004"/>
        </w:numPr>
        <w:pStyle w:val="Compact"/>
      </w:pPr>
      <w:r>
        <w:rPr>
          <w:bCs/>
          <w:b/>
        </w:rPr>
        <w:t xml:space="preserve">CIAO2B</w:t>
      </w:r>
      <w:r>
        <w:t xml:space="preserve"> </w:t>
      </w:r>
      <w:r>
        <w:t xml:space="preserve">Cytosolic iron-sulfur assembly component 2B; Component of the cytosolic iron-sulfur protein assembly (CIA) complex, a multiprotein complex that mediates the incorporation of iron-sulfur cluster into extramitochondrial Fe/S proteins. As a CIA complex component and in collaboration with CIAO1 and MMS19, binds to and facilitates the assembly of most cytosolic-nuclear Fe/S proteins. As part of the mitotic spindle-associated MMXD complex it plays a role in chromosome segregation, probably by facilitating iron-sulfur cluster assembly into ERCC2/XPD. Belongs to the MIP18 family. [PMID: 17353931]</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21988832]</w:t>
      </w:r>
    </w:p>
    <w:p>
      <w:pPr>
        <w:numPr>
          <w:ilvl w:val="0"/>
          <w:numId w:val="1004"/>
        </w:numPr>
        <w:pStyle w:val="Compact"/>
      </w:pPr>
      <w:r>
        <w:rPr>
          <w:bCs/>
          <w:b/>
        </w:rPr>
        <w:t xml:space="preserve">CCDC47</w:t>
      </w:r>
      <w:r>
        <w:t xml:space="preserve"> </w:t>
      </w:r>
      <w:r>
        <w:t xml:space="preserve">Coiled-coil domain-containing protein 47; Involved in the regulation of calcium ion homeostasis in the endoplasmic reticulum. Required for proper protein degradation via the ERAD pathway. Has an essential role in the maintenance of endoplasmic reticulum organization during embryogenesis (By similarity). [PMID: 17353931]</w:t>
      </w:r>
    </w:p>
    <w:p>
      <w:pPr>
        <w:numPr>
          <w:ilvl w:val="0"/>
          <w:numId w:val="1004"/>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17353931]</w:t>
      </w:r>
    </w:p>
    <w:p>
      <w:pPr>
        <w:numPr>
          <w:ilvl w:val="0"/>
          <w:numId w:val="1004"/>
        </w:numPr>
        <w:pStyle w:val="Compact"/>
      </w:pPr>
      <w:r>
        <w:rPr>
          <w:bCs/>
          <w:b/>
        </w:rPr>
        <w:t xml:space="preserve">BAZ1B</w:t>
      </w:r>
      <w:r>
        <w:t xml:space="preserve"> </w:t>
      </w:r>
      <w:r>
        <w:t xml:space="preserve">Tyrosine-protein kinase BAZ1B; Atypical tyrosine-protein kinase that plays a central role in chromatin remodeling and acts as a transcription regulator. Involved in DNA damage response by phosphorylating</w:t>
      </w:r>
      <w:r>
        <w:t xml:space="preserve"> </w:t>
      </w:r>
      <w:r>
        <w:t xml:space="preserve">‘</w:t>
      </w:r>
      <w:r>
        <w:t xml:space="preserve">Tyr-142</w:t>
      </w:r>
      <w:r>
        <w:t xml:space="preserve">’</w:t>
      </w:r>
      <w:r>
        <w:t xml:space="preserve"> </w:t>
      </w:r>
      <w:r>
        <w:t xml:space="preserve">of histone H2AX (H2AXY142ph). H2AXY142ph plays a central role in DNA repair and acts as a mark that distinguishes between apoptotic and repair responses to genotoxic stress. Essential component of the WICH complex, a chromatin remodeling complex that mobilizes nucleosomes and reconfigures irregular chromatin to a regular nucleosomal array structure. [PMID: 17353931]</w:t>
      </w:r>
    </w:p>
    <w:p>
      <w:pPr>
        <w:numPr>
          <w:ilvl w:val="0"/>
          <w:numId w:val="1004"/>
        </w:numPr>
        <w:pStyle w:val="Compact"/>
      </w:pPr>
      <w:r>
        <w:rPr>
          <w:bCs/>
          <w:b/>
        </w:rPr>
        <w:t xml:space="preserve">ATXN10</w:t>
      </w:r>
      <w:r>
        <w:t xml:space="preserve"> </w:t>
      </w:r>
      <w:r>
        <w:t xml:space="preserve">Ataxin-10; Necessary for the survival of cerebellar neurons. Induces neuritogenesis by activating the Ras-MAP kinase pathway. May play a role in the maintenance of a critical intracellular glycosylation level and homeostasis. [PMID: 17353931]</w:t>
      </w:r>
    </w:p>
    <w:p>
      <w:pPr>
        <w:numPr>
          <w:ilvl w:val="0"/>
          <w:numId w:val="1004"/>
        </w:numPr>
        <w:pStyle w:val="Compact"/>
      </w:pPr>
      <w:r>
        <w:rPr>
          <w:bCs/>
          <w:b/>
        </w:rPr>
        <w:t xml:space="preserve">ATP6V1H</w:t>
      </w:r>
      <w:r>
        <w:t xml:space="preserve"> </w:t>
      </w:r>
      <w:r>
        <w:t xml:space="preserve">V-type proton ATPase subunit H; Subunit of the peripheral V1 complex of vacuolar ATPase. Subunit H activates the ATPase activity of the enzyme and couples ATPase activity to proton flow. Vacuolar ATPase is responsible for acidifying a variety of intracellular compartments in eukaryotic cells, thus providing most of the energy required for transport processes in the vacuolar system (By similarity). Involved in the endocytosis mediated by clathrin-coated pits, required for the formation of endosomes. [PMID: 17353931]</w:t>
      </w:r>
    </w:p>
    <w:p>
      <w:pPr>
        <w:numPr>
          <w:ilvl w:val="0"/>
          <w:numId w:val="1004"/>
        </w:numPr>
        <w:pStyle w:val="Compact"/>
      </w:pPr>
      <w:r>
        <w:rPr>
          <w:bCs/>
          <w:b/>
        </w:rPr>
        <w:t xml:space="preserve">ATP5MG</w:t>
      </w:r>
      <w:r>
        <w:t xml:space="preserve"> </w:t>
      </w:r>
      <w:r>
        <w:t xml:space="preserve">ATP synthase subunit g, mitochondrial; Mitochondrial membrane ATP synthase (F(1)F(0) ATP synthase or Complex V) produces ATP from ADP in the presence of a proton gradient across the membrane which is generated by electron transport complexes of the respiratory chain. F-type ATPases consist of two structural domains, F(1) - containing the extramembraneous catalytic core, and F(0) - containing the membrane proton channel, linked together by a central stalk and a peripheral stalk. [PMID: 17353931]</w:t>
      </w:r>
    </w:p>
    <w:p>
      <w:pPr>
        <w:numPr>
          <w:ilvl w:val="0"/>
          <w:numId w:val="1004"/>
        </w:numPr>
        <w:pStyle w:val="Compact"/>
      </w:pPr>
      <w:r>
        <w:rPr>
          <w:bCs/>
          <w:b/>
        </w:rPr>
        <w:t xml:space="preserve">ARMC6</w:t>
      </w:r>
      <w:r>
        <w:t xml:space="preserve"> </w:t>
      </w:r>
      <w:r>
        <w:t xml:space="preserve">Armadillo repeat containing 6. [PMID: 17353931]</w:t>
      </w:r>
    </w:p>
    <w:p>
      <w:pPr>
        <w:numPr>
          <w:ilvl w:val="0"/>
          <w:numId w:val="1004"/>
        </w:numPr>
        <w:pStyle w:val="Compact"/>
      </w:pPr>
      <w:r>
        <w:rPr>
          <w:bCs/>
          <w:b/>
        </w:rPr>
        <w:t xml:space="preserve">ARL1</w:t>
      </w:r>
      <w:r>
        <w:t xml:space="preserve"> </w:t>
      </w:r>
      <w:r>
        <w:t xml:space="preserve">ADP-ribosylation factor-like protein 1; GTP-binding protein that recruits several effectors, such as golgins, arfaptins and Arf-GEFs to the trans-Golgi network, and modulates their functions at the Golgi complex. Plays thereby a role in a wide range of fundamental cellular processes, including cell polarity, innate immunity, or protein secretion mediated by arfaptins, which were shown to play a role in maintaining insulin secretion from pancreatic beta cells. [PMID: 17353931]</w:t>
      </w:r>
    </w:p>
    <w:p>
      <w:pPr>
        <w:numPr>
          <w:ilvl w:val="0"/>
          <w:numId w:val="1004"/>
        </w:numPr>
        <w:pStyle w:val="Compact"/>
      </w:pPr>
      <w:r>
        <w:rPr>
          <w:bCs/>
          <w:b/>
        </w:rPr>
        <w:t xml:space="preserve">ARCN1</w:t>
      </w:r>
      <w:r>
        <w:t xml:space="preserve"> </w:t>
      </w:r>
      <w:r>
        <w:t xml:space="preserve">Coatomer subunit delta; Component of the coatomer, a cytosolic protein complex that binds to dilysine motifs and reversibly associates with Golgi non- clathrin-coated vesicles, which further mediate biosynthetic protein transport from the ER, via the Golgi up to the trans Golgi network. The coatomer complex is required for budding from Golgi membranes, and is essential for the retrograde Golgi-to-ER transport of dilysine-tagged proteins. [PMID: 17353931]</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4"/>
        </w:numPr>
        <w:pStyle w:val="Compact"/>
      </w:pPr>
      <w:r>
        <w:rPr>
          <w:bCs/>
          <w:b/>
        </w:rPr>
        <w:t xml:space="preserve">DYNLRB1</w:t>
      </w:r>
      <w:r>
        <w:t xml:space="preserve"> </w:t>
      </w:r>
      <w:r>
        <w:t xml:space="preserve">Dynein light chain roadblock-type 1;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[PMID: 17353931]</w:t>
      </w:r>
    </w:p>
    <w:p>
      <w:pPr>
        <w:numPr>
          <w:ilvl w:val="0"/>
          <w:numId w:val="1004"/>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17353931]</w:t>
      </w:r>
    </w:p>
    <w:p>
      <w:pPr>
        <w:numPr>
          <w:ilvl w:val="0"/>
          <w:numId w:val="1004"/>
        </w:numPr>
        <w:pStyle w:val="Compact"/>
      </w:pPr>
      <w:r>
        <w:rPr>
          <w:bCs/>
          <w:b/>
        </w:rPr>
        <w:t xml:space="preserve">EHD4</w:t>
      </w:r>
      <w:r>
        <w:t xml:space="preserve"> </w:t>
      </w:r>
      <w:r>
        <w:t xml:space="preserve">EH domain-containing protein 4; ATP- and membrane-binding protein that probably controls membrane reorganization/tubulation upon ATP hydrolysis. Plays a role in early endosomal transport. [PMID: 17353931]</w:t>
      </w:r>
    </w:p>
    <w:p>
      <w:pPr>
        <w:numPr>
          <w:ilvl w:val="0"/>
          <w:numId w:val="1004"/>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17353931]</w:t>
      </w:r>
    </w:p>
    <w:p>
      <w:pPr>
        <w:numPr>
          <w:ilvl w:val="0"/>
          <w:numId w:val="1004"/>
        </w:numPr>
        <w:pStyle w:val="Compact"/>
      </w:pPr>
      <w:r>
        <w:rPr>
          <w:bCs/>
          <w:b/>
        </w:rPr>
        <w:t xml:space="preserve">MYO1D</w:t>
      </w:r>
      <w:r>
        <w:t xml:space="preserve"> </w:t>
      </w:r>
      <w:r>
        <w:t xml:space="preserve">Unconventional myosin-Id; Unconventional myosin that functions as actin-based motor protein with ATPase activity (By similarity). Plays a role in endosomal protein trafficking, and especially in the transfer of cargo proteins from early to recycling endosomes (By similarity). Required for normal planar cell polarity in ciliated tracheal cells, for normal rotational polarity of cilia, and for coordinated, unidirectional ciliary movement in the trachea. Required for normal, polarized cilia organization in brain ependymal epithelial cells (By similarity). [PMID: 17353931]</w:t>
      </w:r>
    </w:p>
    <w:p>
      <w:pPr>
        <w:numPr>
          <w:ilvl w:val="0"/>
          <w:numId w:val="1004"/>
        </w:numPr>
        <w:pStyle w:val="Compact"/>
      </w:pPr>
      <w:r>
        <w:rPr>
          <w:bCs/>
          <w:b/>
        </w:rPr>
        <w:t xml:space="preserve">MYO1C</w:t>
      </w:r>
      <w:r>
        <w:t xml:space="preserve"> </w:t>
      </w:r>
      <w:r>
        <w:t xml:space="preserve">Unconventional myosin-Ic; Myosins are actin-based motor molecules with ATPase activity. Unconventional myosins serve in intracellular movements. Their highly divergent tails are presumed to bind to membranous compartments, which would be moved relative to actin filaments. Involved in glucose transporter recycling in response to insulin by regulating movement of intracellular GLUT4-containing vesicles to the plasma membrane. Component of the hair cell’s (the sensory cells of the inner ear) adaptation-motor complex. [PMID: 17353931]</w:t>
      </w:r>
    </w:p>
    <w:p>
      <w:pPr>
        <w:numPr>
          <w:ilvl w:val="0"/>
          <w:numId w:val="1004"/>
        </w:numPr>
        <w:pStyle w:val="Compact"/>
      </w:pPr>
      <w:r>
        <w:rPr>
          <w:bCs/>
          <w:b/>
        </w:rPr>
        <w:t xml:space="preserve">MYO1A</w:t>
      </w:r>
      <w:r>
        <w:t xml:space="preserve"> </w:t>
      </w:r>
      <w:r>
        <w:t xml:space="preserve">Unconventional myosin-Ia; Involved in directing the movement of organelles along actin filaments; Belongs to the TRAFAC class myosin-kinesin ATPase superfamily. Myosin family. [PMID: 17353931]</w:t>
      </w:r>
    </w:p>
    <w:p>
      <w:pPr>
        <w:numPr>
          <w:ilvl w:val="0"/>
          <w:numId w:val="1004"/>
        </w:numPr>
        <w:pStyle w:val="Compact"/>
      </w:pPr>
      <w:r>
        <w:rPr>
          <w:bCs/>
          <w:b/>
        </w:rPr>
        <w:t xml:space="preserve">MTHFD1L</w:t>
      </w:r>
      <w:r>
        <w:t xml:space="preserve"> </w:t>
      </w:r>
      <w:r>
        <w:t xml:space="preserve">Monofunctional C1-tetrahydrofolate synthase, mitochondrial; May provide the missing metabolic reaction required to link the mitochondria and the cytoplasm in the mammalian model of one-carbon folate metabolism in embryonic an transformed cells complementing thus the enzymatic activities of MTHFD2; In the N-terminal section; belongs to the tetrahydrofolate dehydrogenase/cyclohydrolase family. [PMID: 17353931]</w:t>
      </w:r>
    </w:p>
    <w:p>
      <w:pPr>
        <w:numPr>
          <w:ilvl w:val="0"/>
          <w:numId w:val="1004"/>
        </w:numPr>
        <w:pStyle w:val="Compact"/>
      </w:pPr>
      <w:r>
        <w:rPr>
          <w:bCs/>
          <w:b/>
        </w:rPr>
        <w:t xml:space="preserve">MRPS16</w:t>
      </w:r>
      <w:r>
        <w:t xml:space="preserve"> </w:t>
      </w:r>
      <w:r>
        <w:t xml:space="preserve">Mitochondrial ribosomal protein S16; Belongs to the bacterial ribosomal protein bS16 family. [PMID: 17353931]</w:t>
      </w:r>
    </w:p>
    <w:p>
      <w:pPr>
        <w:numPr>
          <w:ilvl w:val="0"/>
          <w:numId w:val="1004"/>
        </w:numPr>
        <w:pStyle w:val="Compact"/>
      </w:pPr>
      <w:r>
        <w:rPr>
          <w:bCs/>
          <w:b/>
        </w:rPr>
        <w:t xml:space="preserve">MRPS10</w:t>
      </w:r>
      <w:r>
        <w:t xml:space="preserve"> </w:t>
      </w:r>
      <w:r>
        <w:t xml:space="preserve">Mitochondrial ribosomal protein S10; Belongs to the universal ribosomal protein uS10 family. [PMID: 17353931]</w:t>
      </w:r>
    </w:p>
    <w:p>
      <w:pPr>
        <w:numPr>
          <w:ilvl w:val="0"/>
          <w:numId w:val="1004"/>
        </w:numPr>
        <w:pStyle w:val="Compact"/>
      </w:pPr>
      <w:r>
        <w:rPr>
          <w:bCs/>
          <w:b/>
        </w:rPr>
        <w:t xml:space="preserve">MMS19</w:t>
      </w:r>
      <w:r>
        <w:t xml:space="preserve"> </w:t>
      </w:r>
      <w:r>
        <w:t xml:space="preserve">MMS19 nucleotide excision repair protein homolog; Key component of the cytosolic iron-sulfur protein assembly (CIA) complex, a multiprotein complex that mediates the incorporation of iron-sulfur cluster into apoproteins specifically involved in DNA metabolism and genomic integrity. [PMID: 17353931]</w:t>
      </w:r>
    </w:p>
    <w:p>
      <w:pPr>
        <w:numPr>
          <w:ilvl w:val="0"/>
          <w:numId w:val="1004"/>
        </w:numPr>
        <w:pStyle w:val="Compact"/>
      </w:pPr>
      <w:r>
        <w:rPr>
          <w:bCs/>
          <w:b/>
        </w:rPr>
        <w:t xml:space="preserve">MCM5</w:t>
      </w:r>
      <w:r>
        <w:t xml:space="preserve"> </w:t>
      </w:r>
      <w:r>
        <w:t xml:space="preserve">DNA replication licensing factor MCM5;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17353931]</w:t>
      </w:r>
    </w:p>
    <w:p>
      <w:pPr>
        <w:numPr>
          <w:ilvl w:val="0"/>
          <w:numId w:val="1004"/>
        </w:numPr>
        <w:pStyle w:val="Compact"/>
      </w:pPr>
      <w:r>
        <w:rPr>
          <w:bCs/>
          <w:b/>
        </w:rPr>
        <w:t xml:space="preserve">MAPRE2</w:t>
      </w:r>
      <w:r>
        <w:t xml:space="preserve"> </w:t>
      </w:r>
      <w:r>
        <w:t xml:space="preserve">Microtubule-associated protein RP/EB family member 2; May be involved in microtubule polymerization, and spindle function by stabilizing microtubules and anchoring them at centrosomes. May play a role in cell migration (By similarity); Belongs to the MAPRE family. [PMID: 17353931]</w:t>
      </w:r>
    </w:p>
    <w:p>
      <w:pPr>
        <w:numPr>
          <w:ilvl w:val="0"/>
          <w:numId w:val="1004"/>
        </w:numPr>
        <w:pStyle w:val="Compact"/>
      </w:pPr>
      <w:r>
        <w:rPr>
          <w:bCs/>
          <w:b/>
        </w:rPr>
        <w:t xml:space="preserve">LBR</w:t>
      </w:r>
      <w:r>
        <w:t xml:space="preserve"> </w:t>
      </w:r>
      <w:r>
        <w:t xml:space="preserve">Delta(14)-sterol reductase LBR; Catalyzes the reduction of the C14-unsaturated bond of lanosterol, as part of the metabolic pathway leading to cholesterol biosynthesis. Plays a critical role in myeloid cell cholesterol biosynthesis which is essential to both myeloid cell growth and functional maturation (By similarity). Mediates the activation of NADPH oxidases, perhaps by maintaining critical levels of cholesterol required for membrane lipid raft formation during neutrophil differentiation (By similarity). Anchors the lamina and the heterochromatin to the inner nuclear membrane. [PMID: 17353931]</w:t>
      </w:r>
    </w:p>
    <w:p>
      <w:pPr>
        <w:numPr>
          <w:ilvl w:val="0"/>
          <w:numId w:val="1004"/>
        </w:numPr>
        <w:pStyle w:val="Compact"/>
      </w:pPr>
      <w:r>
        <w:rPr>
          <w:bCs/>
          <w:b/>
        </w:rPr>
        <w:t xml:space="preserve">FASTKD2</w:t>
      </w:r>
      <w:r>
        <w:t xml:space="preserve"> </w:t>
      </w:r>
      <w:r>
        <w:t xml:space="preserve">FAST kinase domain-containing protein 2, mitochondrial; Plays an important role in assembly of the mitochondrial large ribosomal subunit. As a component of a functional protein-RNA module, consisting of RCC1L, NGRN, RPUSD3, RPUSD4, TRUB2, FASTKD2 and 16S mitochondrial ribosomal RNA (16S mt- rRNA), controls 16S mt-rRNA abundance and is required for intra- mitochondrial translation. [PMID: 17353931]</w:t>
      </w:r>
    </w:p>
    <w:p>
      <w:pPr>
        <w:numPr>
          <w:ilvl w:val="0"/>
          <w:numId w:val="1004"/>
        </w:numPr>
        <w:pStyle w:val="Compact"/>
      </w:pPr>
      <w:r>
        <w:rPr>
          <w:bCs/>
          <w:b/>
        </w:rPr>
        <w:t xml:space="preserve">IPO4</w:t>
      </w:r>
      <w:r>
        <w:t xml:space="preserve"> </w:t>
      </w:r>
      <w:r>
        <w:t xml:space="preserve">Importin-4; Functions in nuclear protein import as nuclear transport receptor. Serves as receptor for nuclear localization signals (NLS) in cargo substrates. Is thought to mediate docking of the importin/substrate complex to the nuclear pore complex (NPC) through binding to nucleoporin and the complex is subsequently translocated through the pore by an energy requiring, Ran-dependent mechanism. [PMID: 17353931]</w:t>
      </w:r>
    </w:p>
    <w:p>
      <w:pPr>
        <w:numPr>
          <w:ilvl w:val="0"/>
          <w:numId w:val="1004"/>
        </w:numPr>
        <w:pStyle w:val="Compact"/>
      </w:pPr>
      <w:r>
        <w:rPr>
          <w:bCs/>
          <w:b/>
        </w:rPr>
        <w:t xml:space="preserve">IPO11</w:t>
      </w:r>
      <w:r>
        <w:t xml:space="preserve"> </w:t>
      </w:r>
      <w:r>
        <w:t xml:space="preserve">Importin-11; Functions in nuclear protein import as nuclear transport receptor. Serves as receptor for nuclear localization signals (NLS) in cargo substrates. Is thought to mediate docking of the importin/substrate complex to the nuclear pore complex (NPC) through binding to nucleoporin and the complex is subsequently translocated through the pore by an energy requiring, Ran-dependent mechanism. [PMID: 17353931]</w:t>
      </w:r>
    </w:p>
    <w:p>
      <w:pPr>
        <w:numPr>
          <w:ilvl w:val="0"/>
          <w:numId w:val="1004"/>
        </w:numPr>
        <w:pStyle w:val="Compact"/>
      </w:pPr>
      <w:r>
        <w:rPr>
          <w:bCs/>
          <w:b/>
        </w:rPr>
        <w:t xml:space="preserve">IMMT</w:t>
      </w:r>
      <w:r>
        <w:t xml:space="preserve"> </w:t>
      </w:r>
      <w:r>
        <w:t xml:space="preserve">MICOS complex subunit MIC60; Component of the MICOS complex, a large protein complex of the mitochondrial inner membrane that plays crucial roles in the maintenance of crista junctions, inner membrane architecture, and formation of contact sites to the outer membrane. Plays an important role in the maintenance of the MICOS complex stability and the mitochondrial cristae morphology. [PMID: 17353931]</w:t>
      </w:r>
    </w:p>
    <w:p>
      <w:pPr>
        <w:numPr>
          <w:ilvl w:val="0"/>
          <w:numId w:val="1004"/>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17353931]</w:t>
      </w:r>
    </w:p>
    <w:p>
      <w:pPr>
        <w:numPr>
          <w:ilvl w:val="0"/>
          <w:numId w:val="1004"/>
        </w:numPr>
        <w:pStyle w:val="Compact"/>
      </w:pPr>
      <w:r>
        <w:rPr>
          <w:bCs/>
          <w:b/>
        </w:rPr>
        <w:t xml:space="preserve">IDH3B</w:t>
      </w:r>
      <w:r>
        <w:t xml:space="preserve"> </w:t>
      </w:r>
      <w:r>
        <w:t xml:space="preserve">Isocitrate dehydrogenase [NAD] subunit beta, mitochondrial; Plays a structural role to facilitate the assembly and ensure the full activity of the enzyme catalyzing the decarboxylation of isocitrate (ICT) into alpha-ketoglutarate. The heterodimer composed of the alpha (IDH3A) and beta (IDH3B) subunits and the heterodimer composed of the alpha (IDH3A) and gamma (IDH3G) subunits, have considerable basal activity but the full activity of the heterotetramer (containing two subunits of IDH3A, one of IDH3B and one of IDH3G) requires the assembly and cooperative function of both heterodimers. [PMID: 17353931]</w:t>
      </w:r>
    </w:p>
    <w:p>
      <w:pPr>
        <w:numPr>
          <w:ilvl w:val="0"/>
          <w:numId w:val="1004"/>
        </w:numPr>
        <w:pStyle w:val="Compact"/>
      </w:pPr>
      <w:r>
        <w:rPr>
          <w:bCs/>
          <w:b/>
        </w:rPr>
        <w:t xml:space="preserve">HNRNPM</w:t>
      </w:r>
      <w:r>
        <w:t xml:space="preserve"> </w:t>
      </w:r>
      <w:r>
        <w:t xml:space="preserve">Heterogeneous nuclear ribonucleoprotein M; Pre-mRNA binding protein in vivo, binds avidly to poly(G) and poly(U) RNA homopolymers in vitro. Involved in splicing. Acts as a receptor for carcinoembryonic antigen in Kupffer cells, may initiate a series of signaling events leading to tyrosine phosphorylation of proteins and induction of IL-1 alpha, IL-6, IL-10 and tumor necrosis factor alpha cytokines. [PMID: 17353931]</w:t>
      </w:r>
    </w:p>
    <w:p>
      <w:pPr>
        <w:numPr>
          <w:ilvl w:val="0"/>
          <w:numId w:val="1004"/>
        </w:numPr>
        <w:pStyle w:val="Compact"/>
      </w:pPr>
      <w:r>
        <w:rPr>
          <w:bCs/>
          <w:b/>
        </w:rPr>
        <w:t xml:space="preserve">HLTF</w:t>
      </w:r>
      <w:r>
        <w:t xml:space="preserve"> </w:t>
      </w:r>
      <w:r>
        <w:t xml:space="preserve">Helicase-like transcription factor; Has both helicase and E3 ubiquitin ligase activities. Possesses intrinsic ATP-dependent nucleosome-remodeling activity; This activity may be required for transcriptional activation or repression of specific target promoters (By similarity). These may include the SERPINE1 and HIV-1 promoters and the SV40 enhancer, to which this protein can bind directly. Plays a role in error-free postreplication repair (PRR) of damaged DNA and maintains genomic stability through acting as a ubiquitin ligase for</w:t>
      </w:r>
      <w:r>
        <w:t xml:space="preserve"> </w:t>
      </w:r>
      <w:r>
        <w:t xml:space="preserve">‘</w:t>
      </w:r>
      <w:r>
        <w:t xml:space="preserve">Lys-63</w:t>
      </w:r>
      <w:r>
        <w:t xml:space="preserve">’</w:t>
      </w:r>
      <w:r>
        <w:t xml:space="preserve">-linked polyubiquitination of chromatin-bound PCNA. [PMID: 17353931]</w:t>
      </w:r>
    </w:p>
    <w:p>
      <w:pPr>
        <w:numPr>
          <w:ilvl w:val="0"/>
          <w:numId w:val="1004"/>
        </w:numPr>
        <w:pStyle w:val="Compact"/>
      </w:pPr>
      <w:r>
        <w:rPr>
          <w:bCs/>
          <w:b/>
        </w:rPr>
        <w:t xml:space="preserve">GNL3</w:t>
      </w:r>
      <w:r>
        <w:t xml:space="preserve"> </w:t>
      </w:r>
      <w:r>
        <w:t xml:space="preserve">Guanine nucleotide-binding protein-like 3; May be required to maintain the proliferative capacity of stem cells. Stabilizes MDM2 by preventing its ubiquitination, and hence proteasomal degradation (By similarity); Belongs to the TRAFAC class YlqF/YawG GTPase family. [PMID: 17353931]</w:t>
      </w:r>
    </w:p>
    <w:p>
      <w:pPr>
        <w:numPr>
          <w:ilvl w:val="0"/>
          <w:numId w:val="1004"/>
        </w:numPr>
        <w:pStyle w:val="Compact"/>
      </w:pPr>
      <w:r>
        <w:rPr>
          <w:bCs/>
          <w:b/>
        </w:rPr>
        <w:t xml:space="preserve">GCLM</w:t>
      </w:r>
      <w:r>
        <w:t xml:space="preserve"> </w:t>
      </w:r>
      <w:r>
        <w:t xml:space="preserve">Glutamate-cysteine ligase modifier subunit; Belongs to the aldo/keto reductase family. Glutamate– cysteine ligase light chain subfamily. [PMID: 17353931]</w:t>
      </w:r>
    </w:p>
    <w:p>
      <w:pPr>
        <w:numPr>
          <w:ilvl w:val="0"/>
          <w:numId w:val="1004"/>
        </w:numPr>
        <w:pStyle w:val="Compact"/>
      </w:pPr>
      <w:r>
        <w:rPr>
          <w:bCs/>
          <w:b/>
        </w:rPr>
        <w:t xml:space="preserve">ZW10</w:t>
      </w:r>
      <w:r>
        <w:t xml:space="preserve"> </w:t>
      </w:r>
      <w:r>
        <w:t xml:space="preserve">Centromere/kinetochore protein zw10 homolog; Essential component of the mitotic checkpoint, which prevents cells from prematurely exiting mitosis. Required for the assembly of the dynein-dynactin and MAD1-MAD2 complexes onto kinetochores. Its function related to the spindle assembly machinery is proposed to depend on its association in the mitotic RZZ complex. [PMID: 17353931]</w:t>
      </w:r>
    </w:p>
    <w:bookmarkEnd w:id="26"/>
    <w:bookmarkEnd w:id="27"/>
    <w:bookmarkStart w:id="4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https://www.genecards.org/cgi-bin/carddisp.pl?gene=PHLDA3</w:t>
        </w:r>
      </w:hyperlink>
    </w:p>
    <w:p>
      <w:pPr>
        <w:numPr>
          <w:ilvl w:val="0"/>
          <w:numId w:val="1005"/>
        </w:numPr>
        <w:pStyle w:val="Compact"/>
      </w:pPr>
      <w:r>
        <w:t xml:space="preserve">Harmonizome (human):</w:t>
      </w:r>
      <w:r>
        <w:t xml:space="preserve"> </w:t>
      </w:r>
      <w:hyperlink r:id="rId29">
        <w:r>
          <w:rPr>
            <w:rStyle w:val="Hyperlink"/>
          </w:rPr>
          <w:t xml:space="preserve">https://maayanlab.cloud/Harmonizome/gene/PHLDA3</w:t>
        </w:r>
      </w:hyperlink>
    </w:p>
    <w:p>
      <w:pPr>
        <w:numPr>
          <w:ilvl w:val="0"/>
          <w:numId w:val="1005"/>
        </w:numPr>
        <w:pStyle w:val="Compact"/>
      </w:pPr>
      <w:r>
        <w:t xml:space="preserve">NCBI (human):</w:t>
      </w:r>
      <w:r>
        <w:t xml:space="preserve"> </w:t>
      </w:r>
      <w:hyperlink r:id="rId30">
        <w:r>
          <w:rPr>
            <w:rStyle w:val="Hyperlink"/>
          </w:rPr>
          <w:t xml:space="preserve">https://www.ncbi.nlm.nih.gov/gene/23612</w:t>
        </w:r>
      </w:hyperlink>
    </w:p>
    <w:p>
      <w:pPr>
        <w:numPr>
          <w:ilvl w:val="0"/>
          <w:numId w:val="1005"/>
        </w:numPr>
        <w:pStyle w:val="Compact"/>
      </w:pPr>
      <w:r>
        <w:t xml:space="preserve">NCBI (rat):</w:t>
      </w:r>
      <w:r>
        <w:t xml:space="preserve"> </w:t>
      </w:r>
      <w:hyperlink r:id="rId31">
        <w:r>
          <w:rPr>
            <w:rStyle w:val="Hyperlink"/>
          </w:rPr>
          <w:t xml:space="preserve">https://www.ncbi.nlm.nih.gov/gene/363989</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https://useast.ensembl.org/Homo_sapiens/Gene/Summary?g=ENSG00000174307</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https://useast.ensembl.org/Rattus_norvegicus/Gene/Summary?g=ENSRNOG00000009068</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https://rgd.mcw.edu/rgdweb/report/gene/main.html?id=1310502</w:t>
        </w:r>
      </w:hyperlink>
    </w:p>
    <w:p>
      <w:pPr>
        <w:numPr>
          <w:ilvl w:val="0"/>
          <w:numId w:val="1005"/>
        </w:numPr>
        <w:pStyle w:val="Compact"/>
      </w:pPr>
      <w:r>
        <w:t xml:space="preserve">Uniprot (human):</w:t>
      </w:r>
      <w:r>
        <w:t xml:space="preserve"> </w:t>
      </w:r>
      <w:hyperlink r:id="rId35">
        <w:r>
          <w:rPr>
            <w:rStyle w:val="Hyperlink"/>
          </w:rPr>
          <w:t xml:space="preserve">https://www.uniprot.org/uniprotkb/Q9Y5J5</w:t>
        </w:r>
      </w:hyperlink>
    </w:p>
    <w:p>
      <w:pPr>
        <w:numPr>
          <w:ilvl w:val="0"/>
          <w:numId w:val="1005"/>
        </w:numPr>
        <w:pStyle w:val="Compact"/>
      </w:pPr>
      <w:r>
        <w:t xml:space="preserve">Uniprot (rat):</w:t>
      </w:r>
      <w:r>
        <w:t xml:space="preserve"> </w:t>
      </w:r>
      <w:hyperlink r:id="rId36">
        <w:r>
          <w:rPr>
            <w:rStyle w:val="Hyperlink"/>
          </w:rPr>
          <w:t xml:space="preserve">https://www.uniprot.org/uniprotkb/Q5PQT7</w:t>
        </w:r>
      </w:hyperlink>
    </w:p>
    <w:p>
      <w:pPr>
        <w:numPr>
          <w:ilvl w:val="0"/>
          <w:numId w:val="1005"/>
        </w:numPr>
        <w:pStyle w:val="Compact"/>
      </w:pPr>
      <w:r>
        <w:t xml:space="preserve">Wikigenes (human):</w:t>
      </w:r>
      <w:r>
        <w:t xml:space="preserve"> </w:t>
      </w:r>
      <w:hyperlink r:id="rId37">
        <w:r>
          <w:rPr>
            <w:rStyle w:val="Hyperlink"/>
          </w:rPr>
          <w:t xml:space="preserve">https://www.wikigenes.org/e/gene/e/23612.html</w:t>
        </w:r>
      </w:hyperlink>
    </w:p>
    <w:p>
      <w:pPr>
        <w:numPr>
          <w:ilvl w:val="0"/>
          <w:numId w:val="1005"/>
        </w:numPr>
        <w:pStyle w:val="Compact"/>
      </w:pPr>
      <w:r>
        <w:t xml:space="preserve">Wikigenes (rat):</w:t>
      </w:r>
      <w:r>
        <w:t xml:space="preserve"> </w:t>
      </w:r>
      <w:hyperlink r:id="rId38">
        <w:r>
          <w:rPr>
            <w:rStyle w:val="Hyperlink"/>
          </w:rPr>
          <w:t xml:space="preserve">https://www.wikigenes.org/e/gene/e/363989.html</w:t>
        </w:r>
      </w:hyperlink>
    </w:p>
    <w:p>
      <w:pPr>
        <w:numPr>
          <w:ilvl w:val="0"/>
          <w:numId w:val="1005"/>
        </w:numPr>
        <w:pStyle w:val="Compact"/>
      </w:pPr>
      <w:r>
        <w:t xml:space="preserve">Alphafold (human):</w:t>
      </w:r>
      <w:r>
        <w:t xml:space="preserve"> </w:t>
      </w:r>
      <w:hyperlink r:id="rId39">
        <w:r>
          <w:rPr>
            <w:rStyle w:val="Hyperlink"/>
          </w:rPr>
          <w:t xml:space="preserve">https://alphafold.ebi.ac.uk/entry/Q9Y5J5</w:t>
        </w:r>
      </w:hyperlink>
    </w:p>
    <w:p>
      <w:pPr>
        <w:numPr>
          <w:ilvl w:val="0"/>
          <w:numId w:val="1005"/>
        </w:numPr>
        <w:pStyle w:val="Compact"/>
      </w:pPr>
      <w:r>
        <w:t xml:space="preserve">Alphafold (rat):</w:t>
      </w:r>
      <w:r>
        <w:t xml:space="preserve"> </w:t>
      </w:r>
      <w:hyperlink r:id="rId40">
        <w:r>
          <w:rPr>
            <w:rStyle w:val="Hyperlink"/>
          </w:rPr>
          <w:t xml:space="preserve">https://alphafold.ebi.ac.uk/entry/Q5PQT7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1"/>
    <w:bookmarkStart w:id="55"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numPr>
          <w:ilvl w:val="0"/>
          <w:numId w:val="1006"/>
        </w:numPr>
        <w:pStyle w:val="Compact"/>
      </w:pPr>
      <w:r>
        <w:rPr>
          <w:bCs/>
          <w:b/>
        </w:rPr>
        <w:t xml:space="preserve">Regulation of Apoptosis:</w:t>
      </w:r>
      <w:r>
        <w:t xml:space="preserve"> </w:t>
      </w:r>
      <w:r>
        <w:t xml:space="preserve">Apoptosis is a regulated cellular suicide mechanism characterized by nuclear condensation, cell shrinkage, membrane blebbing, and DNA fragmentation. Caspases, a family of cysteine proteases, are the central regulators of apoptosis. Initiator caspases (including caspase-2, -8, -9, -10, -11, and -12) are closely coupled to pro-apoptotic signals. Once activated, these caspases cleave and activate downstream effector caspases (including caspase-3, -6, and -7), which in turn execute apoptosis by cleaving cellular proteins following specific Asp residues. Activation of Fas and TNFR by FasL and TNF, respectively, leads to the activation of caspase-8 and -10. DNA damage induces the expression of PIDD, which binds to RAIDD and caspase-2 and leads to the activation of caspase-2. Cytochrome c released from damaged mitochondria is coupled to the activation of caspase-9. XIAP inhibits caspase-3, -7, and -9. Mitochondria release multiple pro-apoptotic molecules, such as Smac/Diablo, AIF, HtrA2, and Endo G, in addition to cytochrome c. Smac/Diablo binds to XIAP, preventing it from inhibiting caspases. Caspase-11 is induced and activated by pathological pro-inflammatory and pro-apoptotic stimuli and leads to the activation of caspase-1, thereby promoting inflammatory response and apoptosis by directly processing caspase-3. Caspase-12 and caspase-7 are activated under ER stress conditions. Anti-apoptotic ligands, including growth factors and cytokines, activate Akt and p90RSK. Akt inhibits Bad by direct phosphorylation and prevents the expression of Bim by phosphorylating and inhibiting the Forkhead family of transcription factors (FoxO). FoxO promotes apoptosis by upregulating pro-apoptotic molecules such as FasL and Bim. [</w:t>
      </w:r>
      <w:hyperlink r:id="rId42">
        <w:r>
          <w:rPr>
            <w:rStyle w:val="Hyperlink"/>
          </w:rPr>
          <w:t xml:space="preserve">https://www.cellsignal.com/pathways/regulation-of-apoptosis-pathway</w:t>
        </w:r>
      </w:hyperlink>
      <w:r>
        <w:t xml:space="preserve">]</w:t>
      </w:r>
    </w:p>
    <w:p>
      <w:pPr>
        <w:numPr>
          <w:ilvl w:val="0"/>
          <w:numId w:val="1006"/>
        </w:numPr>
        <w:pStyle w:val="Compact"/>
      </w:pPr>
      <w:r>
        <w:rPr>
          <w:bCs/>
          <w:b/>
        </w:rPr>
        <w:t xml:space="preserve">Autophagy Signaling:</w:t>
      </w:r>
      <w:r>
        <w:t xml:space="preserve"> </w:t>
      </w:r>
      <w:r>
        <w:t xml:space="preserve">Macroautophagy, often referred to as autophagy, is a catabolic process that results in the autophagosomic-lysosomal degradation of bulk cytoplasmic contents, abnormal protein aggregates, and excess or damaged organelles. Autophagy is generally activated by conditions of nutrient deprivation but has also been associated with physiological as well as pathological processes such as development, differentiation, neurodegenerative diseases, stress, infection, and cancer. The kinase mTOR is a critical regulator of autophagy induction, with activated mTOR (Akt and MAPK signaling) suppressing autophagy, and negative regulation of mTOR (AMPK and p53 signaling) promoting it. Three related serine/threonine kinases, UNC-51-like kinase -1, -2, and -3 (ULK1, ULK2, UKL3), which play a similar role as the yeast Atg1, act downstream of the mTOR complex. ULK1 and ULK2 form a large complex with the mammalian homolog of an autophagy-related (Atg) gene product (mAtg13) and the scaffold protein FIP200 (an ortholog of yeast Atg17). Class III PI3K complex, containing hVps34, Beclin-1 (a mammalian homolog of yeast Atg6), p150 (a mammalian homolog of yeast Vps15), and Atg14-like protein (Atg14L or Barkor) or ultraviolet irradiation resistance-associated gene (UVRAG), is required for the induction of autophagy. The Atg genes control autophagosome formation through Atg12-Atg5 and LC3-II (Atg8-II) complexes. Atg12 is conjugated to Atg5 in a ubiquitin-like reaction that requires Atg7 and Atg10 (E1 and E2-like enzymes, respectively). The Atg12-Atg5 conjugate then interacts noncovalently with Atg16 to form a large complex. LC3/Atg8 is cleaved at its C-terminus by Atg4 protease to generate the cytosolic LC3-I. LC3-I is conjugated to phosphatidylethanolamine (PE) also in a ubiquitin-like reaction that requires Atg7 and Atg3 (E1 and E2-like enzymes, respectively). The lipidated form of LC3, known as LC3-II, is attached to the autophagosome membrane. Autophagy and apoptosis are connected both positively and negatively, and extensive crosstalk exists between the two processes. During nutrient deficiency, autophagy functions as a pro-survival mechanism; however, excessive autophagy may lead to cell death, a process morphologically distinct from apoptosis. Several pro-apoptotic signals, such as TNF, TRAIL, and FADD, also induce autophagy. Additionally, Bcl-2 inhibits Beclin-1-dependent autophagy, thereby functioning both as a pro-survival and as an anti-autophagic regulator [</w:t>
      </w:r>
      <w:hyperlink r:id="rId43">
        <w:r>
          <w:rPr>
            <w:rStyle w:val="Hyperlink"/>
          </w:rPr>
          <w:t xml:space="preserve">https://www.cellsignal.com/pathways/autophagy-signaling-pathway</w:t>
        </w:r>
      </w:hyperlink>
      <w:r>
        <w:t xml:space="preserve">]</w:t>
      </w:r>
    </w:p>
    <w:p>
      <w:pPr>
        <w:numPr>
          <w:ilvl w:val="0"/>
          <w:numId w:val="1006"/>
        </w:numPr>
        <w:pStyle w:val="Compact"/>
      </w:pPr>
      <w:r>
        <w:rPr>
          <w:bCs/>
          <w:b/>
        </w:rPr>
        <w:t xml:space="preserve">DNA Damage Response:</w:t>
      </w:r>
      <w:r>
        <w:t xml:space="preserve"> </w:t>
      </w:r>
      <w:r>
        <w:t xml:space="preserve">Cells undergo a constant barrage of exogenous and endogenous stressors that can cause DNA damage triggering a DNA-damage response (DDR), activating a number of DNA repair pathways. DNA lesions can vary from breaks in phosphodiester bonds like single‐strand breaks (SSBs) and double‐strand breaks (DSBs) to base damage including pyrimidine dimers, mismatches, and crosslinks. If the damage is not repaired correctly, it can lead to mutations that propagate genomic instability, an underlying factor in the hallmarks of cancer promoting tumor progression. When proliferating, cancer cells become more mutagenetic and deficient in functional DNA repair pathways causing an increased susceptibility to DNA damage. [</w:t>
      </w:r>
      <w:hyperlink r:id="rId44">
        <w:r>
          <w:rPr>
            <w:rStyle w:val="Hyperlink"/>
          </w:rPr>
          <w:t xml:space="preserve">https://www.cellsignal.com/pathways/dna-damage-response-pathway</w:t>
        </w:r>
      </w:hyperlink>
      <w:r>
        <w:t xml:space="preserve">]</w:t>
      </w:r>
    </w:p>
    <w:p>
      <w:pPr>
        <w:numPr>
          <w:ilvl w:val="0"/>
          <w:numId w:val="1006"/>
        </w:numPr>
        <w:pStyle w:val="Compact"/>
      </w:pPr>
      <w:r>
        <w:rPr>
          <w:bCs/>
          <w:b/>
        </w:rPr>
        <w:t xml:space="preserve">PI3K / Akt Signaling:</w:t>
      </w:r>
      <w:r>
        <w:t xml:space="preserve"> </w:t>
      </w:r>
      <w:r>
        <w:t xml:space="preserve">Since its initial discovery as a proto-oncogene, the serine/threonine kinase Akt (also known as protein kinase B or PKB) has become a major focus of attention because of its critical role in regulating diverse cellular functions including metabolism, growth, proliferation, survival, transcription and protein synthesis. The Akt signaling cascade is activated by receptor tyrosine kinases, integrins, B and T cell receptors, cytokine receptors, G-protein-coupled receptors and other stimuli that induce production of phospha- tidy inositol (3,4,5) trisphosphates (PIP3) by phosphoinositide 3-kinase (PI3K). These lipids serve as plasma membrane docking sites for proteins that harbor pleckstrin-homology (PH) domains, including Akt and its upstream activator PDK1. At the membrane PDK1 phosphorylates Akt at Thr308 leading to partial activation of Akt. Phosphorylation of Akt at Ser473 by mTORC2 stimulates full enzymatic activity. Members of the PI3K-related kinase (PIKK) family, including DNA-PK, can also phosphorylate Akt at Ser473. Akt is dephosphorylated by protein phosphatase 2A (PP2A) and the PH-domain leucine-rich-repeat-containing protein phosphatases (PHLPP1/2). In addition, the tumor suppressor phosphatase and tensin homolog (PTEN) inhibits Akt activity by dephosphorylating PIP3. [</w:t>
      </w:r>
      <w:r>
        <w:t xml:space="preserve"> </w:t>
      </w:r>
      <w:hyperlink r:id="rId45">
        <w:r>
          <w:rPr>
            <w:rStyle w:val="Hyperlink"/>
          </w:rPr>
          <w:t xml:space="preserve">https://www.cellsignal.com/pathways/pathways-akt-signaling</w:t>
        </w:r>
      </w:hyperlink>
      <w:r>
        <w:t xml:space="preserve">]</w:t>
      </w:r>
    </w:p>
    <w:p>
      <w:pPr>
        <w:numPr>
          <w:ilvl w:val="0"/>
          <w:numId w:val="1006"/>
        </w:numPr>
        <w:pStyle w:val="Compact"/>
      </w:pPr>
      <w:r>
        <w:rPr>
          <w:bCs/>
          <w:b/>
        </w:rPr>
        <w:t xml:space="preserve">Genotoxicity pathway</w:t>
      </w:r>
      <w:r>
        <w:t xml:space="preserve">: This pathway describes the transcriptomic biomarker TGx-DDI genotoxicity assay (consisting of 64 genes) developed to readily distinguish DNA damage-inducing (DDI) agents from non-DDI agents. Abstract from the paper</w:t>
      </w:r>
      <w:r>
        <w:t xml:space="preserve"> </w:t>
      </w:r>
      <w:r>
        <w:t xml:space="preserve">“</w:t>
      </w:r>
      <w:r>
        <w:t xml:space="preserve">Development and validation of a high-throughput transcriptomic biomarker to address 21st century genetic toxicology needs</w:t>
      </w:r>
      <w:r>
        <w:t xml:space="preserve">”</w:t>
      </w:r>
      <w:r>
        <w:t xml:space="preserve"> </w:t>
      </w:r>
      <w:r>
        <w:t xml:space="preserve">by Li et al. (2017) published in PNAS: Standard in vitro assays to assess genotoxicity frequently generate positive results that are subsequently found to be irrelevant for in vivo carcinogenesis and human cancer risk assessment. Currently used follow-up methods, such as animal testing, are expensive and time-consuming, and the development of approaches enabling more accurate mechanism-based risk assessment is essential. We developed an in vitro transcriptomic biomarker-based approach that provides a robust biomarker reflecting stress-signaling responses. The biomarker correctly identifies the vast majority of irrelevant genotoxicity results from in vitro chromosome damage assays. TGx-DDI, a multigene biomarker for DNA damage-inducing agents, is the first biomarker that not only shows convincing interlaboratory and intralaboratory reproducibility, but also performs accurately in a system suitable for high-throughput screening. [</w:t>
      </w:r>
      <w:hyperlink r:id="rId46">
        <w:r>
          <w:rPr>
            <w:rStyle w:val="Hyperlink"/>
          </w:rPr>
          <w:t xml:space="preserve">https://pubchem.ncbi.nlm.nih.gov/pathway/WikiPathways:WP4286</w:t>
        </w:r>
      </w:hyperlink>
      <w:r>
        <w:t xml:space="preserve">]</w:t>
      </w:r>
    </w:p>
    <w:bookmarkEnd w:id="47"/>
    <w:bookmarkStart w:id="48" w:name="go-terms"/>
    <w:p>
      <w:pPr>
        <w:pStyle w:val="Heading2"/>
      </w:pPr>
      <w:r>
        <w:t xml:space="preserve">GO terms:</w:t>
      </w:r>
    </w:p>
    <w:p>
      <w:pPr>
        <w:pStyle w:val="FirstParagraph"/>
      </w:pPr>
      <w:r>
        <w:rPr>
          <w:bCs/>
          <w:b/>
        </w:rPr>
        <w:t xml:space="preserve">intrinsic apoptotic signaling pathway in response to DNA damage by p53 class mediator</w:t>
      </w:r>
      <w:r>
        <w:t xml:space="preserve"> </w:t>
      </w:r>
      <w:r>
        <w:t xml:space="preserve">[The series of molecular signals in which an intracellular signal is conveyed to trigger the apoptotic death of a cell. The pathway is induced by the cell cycle regulator phosphoprotein p53, or an equivalent protein, in response to the detection of DNA damage, and ends when the execution phase of apoptosis is triggered. GO:0042771]</w:t>
      </w:r>
    </w:p>
    <w:p>
      <w:pPr>
        <w:pStyle w:val="BodyText"/>
      </w:pPr>
      <w:r>
        <w:rPr>
          <w:bCs/>
          <w:b/>
        </w:rPr>
        <w:t xml:space="preserve">negative regulation of phosphatidylinositol 3-kinase/protein kinase B signal transduction</w:t>
      </w:r>
      <w:r>
        <w:t xml:space="preserve"> </w:t>
      </w:r>
      <w:r>
        <w:t xml:space="preserve">[Any process that stops, prevents, or reduces the frequency, rate or extent of phosphatidylinositol 3-kinase/protein kinase B signal transduction. GO:0051898]</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bookmarkEnd w:id="48"/>
    <w:bookmarkStart w:id="54" w:name="msigdb-signatures"/>
    <w:p>
      <w:pPr>
        <w:pStyle w:val="Heading2"/>
      </w:pPr>
      <w:r>
        <w:t xml:space="preserve">MSigDB Signatures:</w:t>
      </w:r>
    </w:p>
    <w:p>
      <w:pPr>
        <w:pStyle w:val="FirstParagraph"/>
      </w:pPr>
      <w:r>
        <w:rPr>
          <w:bCs/>
          <w:b/>
        </w:rPr>
        <w:t xml:space="preserve">ACEVEDO_LIVER_CANCER_UP</w:t>
      </w:r>
      <w:r>
        <w:t xml:space="preserve">: Genes up-regulated in hepatocellular carcinoma (HCC) compared to normal liver samples.</w:t>
      </w:r>
      <w:r>
        <w:t xml:space="preserve"> </w:t>
      </w:r>
      <w:hyperlink r:id="rId49">
        <w:r>
          <w:rPr>
            <w:rStyle w:val="Hyperlink"/>
          </w:rPr>
          <w:t xml:space="preserve">[https://www.gsea-msigdb.org/gsea/msigdb/human/geneset/ACEVEDO_LIVER_CANCER_UP.html]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50">
        <w:r>
          <w:rPr>
            <w:rStyle w:val="Hyperlink"/>
          </w:rPr>
          <w:t xml:space="preserve">[https://www.gsea-msigdb.org/gsea/msigdb/human/geneset/RODWELL_AGING_KIDNEY_NO_BLOOD_UP.html]</w:t>
        </w:r>
      </w:hyperlink>
    </w:p>
    <w:p>
      <w:pPr>
        <w:pStyle w:val="BodyText"/>
      </w:pPr>
      <w:r>
        <w:rPr>
          <w:bCs/>
          <w:b/>
        </w:rPr>
        <w:t xml:space="preserve">AMIT_SERUM_RESPONSE_240_MCF10A</w:t>
      </w:r>
      <w:r>
        <w:t xml:space="preserve">: Genes whose expression peaked at 240 min after stimulation of MCF10A cells with serum.</w:t>
      </w:r>
      <w:r>
        <w:t xml:space="preserve"> </w:t>
      </w:r>
      <w:hyperlink r:id="rId51">
        <w:r>
          <w:rPr>
            <w:rStyle w:val="Hyperlink"/>
          </w:rPr>
          <w:t xml:space="preserve">[https://www.gsea-msigdb.org/gsea/msigdb/human/geneset/AMIT_SERUM_RESPONSE_240_MCF10A.html]</w:t>
        </w:r>
      </w:hyperlink>
    </w:p>
    <w:p>
      <w:pPr>
        <w:pStyle w:val="BodyText"/>
      </w:pPr>
      <w:r>
        <w:rPr>
          <w:bCs/>
          <w:b/>
        </w:rPr>
        <w:t xml:space="preserve">AMIT_EGF_RESPONSE_120_MCF10A</w:t>
      </w:r>
      <w:r>
        <w:t xml:space="preserve">: Genes whose expression peaked at 120 min after stimulation of MCF10A cells with EGF [GeneID=1950].</w:t>
      </w:r>
      <w:r>
        <w:t xml:space="preserve"> </w:t>
      </w:r>
      <w:hyperlink r:id="rId52">
        <w:r>
          <w:rPr>
            <w:rStyle w:val="Hyperlink"/>
          </w:rPr>
          <w:t xml:space="preserve">[https://www.gsea-msigdb.org/gsea/msigdb/human/geneset/AMIT_EGF_RESPONSE_120_MCF10A.html]</w:t>
        </w:r>
      </w:hyperlink>
    </w:p>
    <w:p>
      <w:pPr>
        <w:pStyle w:val="BodyText"/>
      </w:pPr>
      <w:r>
        <w:rPr>
          <w:bCs/>
          <w:b/>
        </w:rPr>
        <w:t xml:space="preserve">FISCHER_DIRECT_P53_TARGETS_META_ANALYSIS</w:t>
      </w:r>
      <w:r>
        <w:t xml:space="preserve">: Genes directly bound and regulated by TP53[GeneID=7157].</w:t>
      </w:r>
      <w:r>
        <w:t xml:space="preserve"> </w:t>
      </w:r>
      <w:hyperlink r:id="rId53">
        <w:r>
          <w:rPr>
            <w:rStyle w:val="Hyperlink"/>
          </w:rPr>
          <w:t xml:space="preserve">[https://www.gsea-msigdb.org/gsea/msigdb/human/geneset/FISCHER_DIRECT_P53_TARGETS_META_ANALYSIS.html]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Enables phosphatidylinositol phosphate binding activity and phosphatidylinositol-3,4-bisphosphate binding activity. Involved in intrinsic apoptotic signaling pathway in response to DNA damage by p53 class mediator; negative regulation of phosphatidylinositol 3-kinase/protein kinase B signal transduction; and positive regulation of apoptotic process. Located in plasma membrane. [provided by Alliance of Genome Resources, Mar 2025]</w:t>
      </w:r>
    </w:p>
    <w:p>
      <w:pPr>
        <w:pStyle w:val="BodyText"/>
      </w:pPr>
      <w:r>
        <w:rPr>
          <w:bCs/>
          <w:b/>
        </w:rPr>
        <w:t xml:space="preserve">GeneCards Summary</w:t>
      </w:r>
      <w:r>
        <w:t xml:space="preserve">: PHLDA3 (Pleckstrin Homology Like Domain Family A Member 3) is a Protein Coding gene. Diseases associated with PHLDA3 include Multiple Endocrine Neoplasia, Type I. Among its related pathways are Apoptosis and Autophagy and Genotoxicity pathway. Gene Ontology (GO) annotations related to this gene include phosphatidylinositol-4,5-bisphosphate binding and phosphatidylinositol-3-phosphate binding. An important paralog of this gene is PHLDA1.</w:t>
      </w:r>
    </w:p>
    <w:p>
      <w:pPr>
        <w:pStyle w:val="BodyText"/>
      </w:pPr>
      <w:r>
        <w:rPr>
          <w:bCs/>
          <w:b/>
        </w:rPr>
        <w:t xml:space="preserve">UniProtKB/Swiss-Prot Summary</w:t>
      </w:r>
      <w:r>
        <w:t xml:space="preserve">: p53/TP53-regulated repressor of Akt/AKT1 signaling. Represses AKT1 by preventing AKT1-binding to membrane lipids, thereby inhibiting AKT1 translocation to the cellular membrane and activation. Contributes to p53/TP53-dependent apoptosis by repressing AKT1 activity. Its direct transcription regulation by p53/TP53 may explain how p53/TP53 can negatively regulate AKT1. May act as a tumor suppressor.</w:t>
      </w:r>
    </w:p>
    <w:bookmarkEnd w:id="56"/>
    <w:bookmarkStart w:id="58" w:name="cellular-location-of-gene-product"/>
    <w:p>
      <w:pPr>
        <w:pStyle w:val="Heading1"/>
      </w:pPr>
      <w:r>
        <w:t xml:space="preserve">8. Cellular Location of Gene Product</w:t>
      </w:r>
    </w:p>
    <w:p>
      <w:pPr>
        <w:pStyle w:val="FirstParagraph"/>
      </w:pPr>
      <w:r>
        <w:t xml:space="preserve">Cytoplasmic expression in most tissues. Predicted location: Intracellular [</w:t>
      </w:r>
      <w:hyperlink r:id="rId57">
        <w:r>
          <w:rPr>
            <w:rStyle w:val="Hyperlink"/>
          </w:rPr>
          <w:t xml:space="preserve">https://www.proteinatlas.org/ENSG00000174307/subcellular</w:t>
        </w:r>
      </w:hyperlink>
      <w:r>
        <w:t xml:space="preserve">]</w:t>
      </w:r>
    </w:p>
    <w:bookmarkEnd w:id="58"/>
    <w:bookmarkStart w:id="60" w:name="mechanistic-information"/>
    <w:p>
      <w:pPr>
        <w:pStyle w:val="Heading1"/>
      </w:pPr>
      <w:r>
        <w:t xml:space="preserve">9. Mechanistic Information</w:t>
      </w:r>
    </w:p>
    <w:p>
      <w:pPr>
        <w:numPr>
          <w:ilvl w:val="0"/>
          <w:numId w:val="1007"/>
        </w:numPr>
        <w:pStyle w:val="Compact"/>
      </w:pPr>
      <w:r>
        <w:t xml:space="preserve">PHLDA3 overexpression in hepatocytes by endoplasmic reticulum stress. PHLDA3 expression in hepatocytes, induced by the IRE1-Xbp1s pathway during ER stress, facilitates liver injury through the inhibition of Akt [PMID: 25966993].</w:t>
      </w:r>
    </w:p>
    <w:p>
      <w:pPr>
        <w:numPr>
          <w:ilvl w:val="0"/>
          <w:numId w:val="1007"/>
        </w:numPr>
        <w:pStyle w:val="Compact"/>
      </w:pPr>
      <w:r>
        <w:t xml:space="preserve">The transcriptome analysis of C57BL/6J mouse liver tissue 48 hours post whole-body irradiation revealed significant upregulation of Phlda3, a gene functioning as a tumor suppressor. Phlda3 dysregulation is associated with radiation-induced liver injury pathways and cell cycle checkpoint control pathways [PMID: 36604457].</w:t>
      </w:r>
    </w:p>
    <w:p>
      <w:pPr>
        <w:numPr>
          <w:ilvl w:val="0"/>
          <w:numId w:val="1007"/>
        </w:numPr>
        <w:pStyle w:val="Compact"/>
      </w:pPr>
      <w:r>
        <w:t xml:space="preserve">Phlda3 gene expression is significantly upregulated in the kidney cortex of mice treated with cisplatin, leading to kidney tubular injury. In renal tubular cells, Phlda3 knockdown enhances cisplatin-induced p-Mdm2, strengthening the Mdm2-p53 interaction, while Phlda3 overexpression promotes p53 accumulation. Nephrotoxicants like cyclosporine A and CdCl2 elevate Phlda3 mRNA levels, indicating that Phlda3 influences the p53 signaling pathway to exacerbate tubular injury [PMID: 25809501].</w:t>
      </w:r>
    </w:p>
    <w:p>
      <w:pPr>
        <w:numPr>
          <w:ilvl w:val="0"/>
          <w:numId w:val="1007"/>
        </w:numPr>
        <w:pStyle w:val="Compact"/>
      </w:pPr>
      <w:r>
        <w:t xml:space="preserve">PHLDA3 exerts an antitumor function in prostate cancer by down-regulating Wnt/beta-catenin pathway via inhibition of Akt [PMID: 34303965].</w:t>
      </w:r>
    </w:p>
    <w:p>
      <w:pPr>
        <w:numPr>
          <w:ilvl w:val="0"/>
          <w:numId w:val="1007"/>
        </w:numPr>
        <w:pStyle w:val="Compact"/>
      </w:pPr>
      <w:r>
        <w:t xml:space="preserve">PHLDA3 expression is upregulated in lung adenocarcinoma tissues. Increased PHLDA3 expression promotes lung cancer cell proliferation, invasion, and migration by activating the Wnt signaling pathway and facilitating epithelial-mesenchymal transition [PMID: 34006890].</w:t>
      </w:r>
    </w:p>
    <w:p>
      <w:pPr>
        <w:numPr>
          <w:ilvl w:val="0"/>
          <w:numId w:val="1007"/>
        </w:numPr>
        <w:pStyle w:val="Compact"/>
      </w:pPr>
      <w:r>
        <w:t xml:space="preserve">mRNA levels of Phlda3 were markedly upregulated in vivo in the islets of diabetic humans and mice. Phlda3 regulates the cytokine, oxidative and ER stress responses in beta cells via the repression of inflammatory gene expression and the maintenance of antioxidant and adaptive UPR gene expression. Phlda3 may promote beta cell survival in diabetes [PMID: 31492921].</w:t>
      </w:r>
    </w:p>
    <w:bookmarkStart w:id="59" w:name="summary"/>
    <w:p>
      <w:pPr>
        <w:pStyle w:val="Heading2"/>
      </w:pPr>
      <w:r>
        <w:t xml:space="preserve">Summary</w:t>
      </w:r>
    </w:p>
    <w:p>
      <w:pPr>
        <w:pStyle w:val="FirstParagraph"/>
      </w:pPr>
      <w:r>
        <w:t xml:space="preserve">PHLDA3 encodes a PH domain-only protein that functions as a negative regulator of the PI3K/AKT signaling pathway [CS: 9]. Acting as a p53 target gene, PHLDA3 competes with AKT for binding to phosphatidylinositol phosphates, thus preventing AKT’s translocation and activation at the cell membrane [CS: 9]. By inhibiting AKT activity, PHLDA3 represses cellular proliferative signals while facilitating p53-dependent apoptosis [CS: 8]. In hepatocytes, PHLDA3 participates in managing endoplasmic reticulum (ER) stress through its inhibition of AKT signaling, which is important for promoting apoptosis of damaged cells [CS: 7].</w:t>
      </w:r>
    </w:p>
    <w:p>
      <w:pPr>
        <w:pStyle w:val="BodyText"/>
      </w:pPr>
      <w:r>
        <w:t xml:space="preserve">PHLDA3 is upregulated in response to cellular stressors including ER stress, exposure to hepatotoxins, genotoxicity, and irradiation [CS: 8]. In liver tissues, this upregulation occurs via the IRE1-Xbp1s pathway as part of a normal defensive mechanism to suppress excessive AKT signaling and facilitate the clearance of severely damaged hepatocytes through apoptosis [CS: 7]. During acute challenges like exposure to diethylnitrosamine or doxorubicin, elevated PHLDA3 helps manage damage by removing compromised cells [CS: 7]. However, in conditions of chronic exposure or continuous stress, persistent PHLDA3 expression can create an imbalance where excessive apoptosis exceeds regenerative capacity [CS: 8].</w:t>
      </w:r>
    </w:p>
    <w:bookmarkEnd w:id="59"/>
    <w:bookmarkEnd w:id="60"/>
    <w:bookmarkStart w:id="62" w:name="upstream-regulators"/>
    <w:p>
      <w:pPr>
        <w:pStyle w:val="Heading1"/>
      </w:pPr>
      <w:r>
        <w:t xml:space="preserve">10. Upstream Regulators</w:t>
      </w:r>
    </w:p>
    <w:p>
      <w:pPr>
        <w:numPr>
          <w:ilvl w:val="0"/>
          <w:numId w:val="1008"/>
        </w:numPr>
        <w:pStyle w:val="Compact"/>
      </w:pPr>
      <w:r>
        <w:t xml:space="preserve">X box-binding protein-1 (Xbp1) was identified as a transcription factor responsible for PHLDA3 expression. Inositol-requiring enzyme 1 (IRE1) was required for PHLDA3 induction in the liver post treatment of tunicamycin (Tm) in mice [PMID: 25966993].</w:t>
      </w:r>
    </w:p>
    <w:p>
      <w:pPr>
        <w:numPr>
          <w:ilvl w:val="0"/>
          <w:numId w:val="1008"/>
        </w:numPr>
        <w:pStyle w:val="Compact"/>
      </w:pPr>
      <w:r>
        <w:t xml:space="preserve">Cytokines, palmitate, and ribose upregulate Phlda3 mRNA and protein levels in beta cells, concurrent with induction of ER stress and antioxidant genes. Adaptive unfolded protein response (UPR) mediator Xbp1 upregulates Phlda3, while apoptotic UPR mediator Ddit3 downregulates it [PMID: 31492921].</w:t>
      </w:r>
    </w:p>
    <w:p>
      <w:pPr>
        <w:numPr>
          <w:ilvl w:val="0"/>
          <w:numId w:val="1008"/>
        </w:numPr>
        <w:pStyle w:val="Compact"/>
      </w:pPr>
      <w:r>
        <w:t xml:space="preserve">Transcriptional reprogramming due to PRMT5 inhibition in mantle cell lymphoma activates negative regulators of the B-cell receptor-PI3K/AKT signaling pathway, including PHLDA3, indicating increased PHLDA3 gene expression [PMID: 37267517].</w:t>
      </w:r>
    </w:p>
    <w:p>
      <w:pPr>
        <w:numPr>
          <w:ilvl w:val="0"/>
          <w:numId w:val="1008"/>
        </w:numPr>
        <w:pStyle w:val="Compact"/>
      </w:pPr>
      <w:r>
        <w:t xml:space="preserve">Cisplatin-induced acute kidney injury (AKI) upregulates Phlda3 via the p53 pathway. Foxo3, whose translation is inhibited by miR-122, and acetylation promoted by miR-34a, facilitates p53 binding and activation, leading to robust induction of Phlda3 and subsequent tubular injury [PMID: 24759152]. PHLDA3 is a direct target gene of p53 [PMID: 19203586].</w:t>
      </w:r>
    </w:p>
    <w:p>
      <w:pPr>
        <w:numPr>
          <w:ilvl w:val="0"/>
          <w:numId w:val="1008"/>
        </w:numPr>
        <w:pStyle w:val="Compact"/>
      </w:pPr>
      <w:r>
        <w:t xml:space="preserve">mRNA expression levels of Phlda3 were increased by age and stress-induced premature senescence using doxorubicin in livers of young mice [PMID: 37648885].</w:t>
      </w:r>
    </w:p>
    <w:p>
      <w:pPr>
        <w:numPr>
          <w:ilvl w:val="0"/>
          <w:numId w:val="1008"/>
        </w:numPr>
        <w:pStyle w:val="Compact"/>
      </w:pPr>
      <w:r>
        <w:t xml:space="preserve">Phlda3 mRNA expression was significantly upregulated in the mouse liver by whole-body irradiation [PMID: 36604457].</w:t>
      </w:r>
    </w:p>
    <w:p>
      <w:pPr>
        <w:numPr>
          <w:ilvl w:val="0"/>
          <w:numId w:val="1008"/>
        </w:numPr>
        <w:pStyle w:val="Compact"/>
      </w:pPr>
      <w:r>
        <w:t xml:space="preserve">PHLDA3 is found to be transcriptionally regulated by Oct4 [PMID: 28588267].</w:t>
      </w:r>
    </w:p>
    <w:p>
      <w:pPr>
        <w:numPr>
          <w:ilvl w:val="0"/>
          <w:numId w:val="1008"/>
        </w:numPr>
        <w:pStyle w:val="Compact"/>
      </w:pPr>
      <w:r>
        <w:t xml:space="preserve">PHLDA3 activated by BarH-like homeobox 2 (BARX2) transcription, suppresses the malignant development of esophageal squamous cell carcinoma (ESCC) by downregulating PI3K/AKT levels [PMID: 36965748].</w:t>
      </w:r>
    </w:p>
    <w:p>
      <w:pPr>
        <w:numPr>
          <w:ilvl w:val="0"/>
          <w:numId w:val="1008"/>
        </w:numPr>
        <w:pStyle w:val="Compact"/>
      </w:pPr>
      <w:r>
        <w:t xml:space="preserve">DJ-1 (PARK7) interacts with PHLDA3, and loss of DJ-1 increases PHLDA3 membrane localization and decreases AKT phosphorylation. Overexpressing PHLDA3 in DJ-1 knockout mouse embryonic fibroblasts under oxidative stress conditions leads to reduced AKT pathway activity [</w:t>
      </w:r>
      <w:hyperlink r:id="rId61">
        <w:r>
          <w:rPr>
            <w:rStyle w:val="Hyperlink"/>
          </w:rPr>
          <w:t xml:space="preserve">http://dx.doi.org/10.20381/ruor-4128</w:t>
        </w:r>
      </w:hyperlink>
      <w:r>
        <w:t xml:space="preserve">].</w:t>
      </w:r>
    </w:p>
    <w:p>
      <w:pPr>
        <w:numPr>
          <w:ilvl w:val="0"/>
          <w:numId w:val="1008"/>
        </w:numPr>
        <w:pStyle w:val="Compact"/>
      </w:pPr>
      <w:r>
        <w:t xml:space="preserve">Hypoxia increased Phlda3 expression through p53-dependent mechanisms. Upregulation of Phlda3 in response to hypoxia mediated apoptosis by inhibiting the AKT signaling pathway [PMID: 25961455].</w:t>
      </w:r>
    </w:p>
    <w:p>
      <w:pPr>
        <w:numPr>
          <w:ilvl w:val="0"/>
          <w:numId w:val="1008"/>
        </w:numPr>
        <w:pStyle w:val="Compact"/>
      </w:pPr>
      <w:r>
        <w:t xml:space="preserve">PTBP1 directly binds to a CU-rich region in the 3’ UTR of Phlda3, which was shown to be critical for downregulating the mRNA and protein levels of Phlda3 in intestinal Paneth cells [PMID: 36744439].</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3">
        <w:r>
          <w:rPr>
            <w:rStyle w:val="Hyperlink"/>
          </w:rPr>
          <w:t xml:space="preserve">https://www.proteinatlas.org/ENSG00000174307/tissue</w:t>
        </w:r>
      </w:hyperlink>
      <w:r>
        <w:t xml:space="preserve">]</w:t>
      </w:r>
    </w:p>
    <w:p>
      <w:pPr>
        <w:pStyle w:val="BodyText"/>
      </w:pPr>
      <w:r>
        <w:rPr>
          <w:bCs/>
          <w:b/>
        </w:rPr>
        <w:t xml:space="preserve">Cell type enhanced</w:t>
      </w:r>
      <w:r>
        <w:t xml:space="preserve">: late spermatids, skeletal myocytes (cell type enhanced) [</w:t>
      </w:r>
      <w:hyperlink r:id="rId64">
        <w:r>
          <w:rPr>
            <w:rStyle w:val="Hyperlink"/>
          </w:rPr>
          <w:t xml:space="preserve">https://www.proteinatlas.org/ENSG00000174307/single+cell+type</w:t>
        </w:r>
      </w:hyperlink>
      <w:r>
        <w:t xml:space="preserve">]</w:t>
      </w:r>
    </w:p>
    <w:bookmarkEnd w:id="65"/>
    <w:bookmarkStart w:id="66" w:name="role-of-gene-in-other-tissues"/>
    <w:p>
      <w:pPr>
        <w:pStyle w:val="Heading1"/>
      </w:pPr>
      <w:r>
        <w:t xml:space="preserve">12. Role of Gene in Other Tissues</w:t>
      </w:r>
    </w:p>
    <w:p>
      <w:pPr>
        <w:numPr>
          <w:ilvl w:val="0"/>
          <w:numId w:val="1009"/>
        </w:numPr>
        <w:pStyle w:val="Compact"/>
      </w:pPr>
      <w:r>
        <w:t xml:space="preserve">In carcinogen-induced mouse model of squamous cell carcinomas (SCC), the Phlda3 gene is found to be involved in the suppression of benign and metastatic tumor development. Loss of PHLDA3 induces epithelial-mesenchymal transition, complementing p53 loss in metastatic tumor formation. Low PHLDA3 expression in human SCC patients correlates with poorer prognosis [PMID: 34592332].</w:t>
      </w:r>
    </w:p>
    <w:p>
      <w:pPr>
        <w:numPr>
          <w:ilvl w:val="0"/>
          <w:numId w:val="1009"/>
        </w:numPr>
        <w:pStyle w:val="Compact"/>
      </w:pPr>
      <w:r>
        <w:t xml:space="preserve">In breast cancer, in silico analysis and immunohistochemistry on a cohort of 393 patients revealed that low PHLDA3 expression is associated with short relapse-free survival and that PHLDA3 expression relates directly to hormonal therapy response [PMID: 33179538].</w:t>
      </w:r>
    </w:p>
    <w:p>
      <w:pPr>
        <w:numPr>
          <w:ilvl w:val="0"/>
          <w:numId w:val="1009"/>
        </w:numPr>
        <w:pStyle w:val="Compact"/>
      </w:pPr>
      <w:r>
        <w:t xml:space="preserve">Low PHLDA3 expression in esophageal squamous cell carcinomas is associated with poor prognosis [PMID: 25667479].</w:t>
      </w:r>
    </w:p>
    <w:p>
      <w:pPr>
        <w:numPr>
          <w:ilvl w:val="0"/>
          <w:numId w:val="1009"/>
        </w:numPr>
        <w:pStyle w:val="Compact"/>
      </w:pPr>
      <w:r>
        <w:t xml:space="preserve">Loss of heterozygosity (LOH) and methylation at the PHLDA3 gene locus occur at high frequency in human pancreatic neuroendocrine tumors (PanNETs) [PMID: 28295876], correlating with disease progression and poor prognosis [PMID: 24912192]. The p53-PHLDA3-Akt network is a key regulator of neuroendocrine tumorigenesis [PMID: 32521808, PMID: 28295876].</w:t>
      </w:r>
    </w:p>
    <w:p>
      <w:pPr>
        <w:numPr>
          <w:ilvl w:val="0"/>
          <w:numId w:val="1009"/>
        </w:numPr>
        <w:pStyle w:val="Compact"/>
      </w:pPr>
      <w:r>
        <w:t xml:space="preserve">TP53 mutations were significantly correlated with the increased expression of PHLDA1 and PHLDA3 in pancreatic adenocarcinoma (PAAD), and the high expression of PHLDA1/3 was associated with poor prognosis in patients with PAAD [PMID: 36142223].</w:t>
      </w:r>
    </w:p>
    <w:p>
      <w:pPr>
        <w:numPr>
          <w:ilvl w:val="0"/>
          <w:numId w:val="1009"/>
        </w:numPr>
        <w:pStyle w:val="Compact"/>
      </w:pPr>
      <w:r>
        <w:t xml:space="preserve">PHLDA3 promotes lung adenocarcinoma cell proliferation and invasion via activation of the Wnt signaling pathway [PMID: 34006890].</w:t>
      </w:r>
    </w:p>
    <w:p>
      <w:pPr>
        <w:numPr>
          <w:ilvl w:val="0"/>
          <w:numId w:val="1009"/>
        </w:numPr>
        <w:pStyle w:val="Compact"/>
      </w:pPr>
      <w:r>
        <w:t xml:space="preserve">Phlda3 regulates beta cell survival during stress. The mRNA levels of Phlda3 were markedly upregulated in vivo in the islets of diabetic humans and mice [PMID: 31492921].</w:t>
      </w:r>
    </w:p>
    <w:p>
      <w:pPr>
        <w:numPr>
          <w:ilvl w:val="0"/>
          <w:numId w:val="1009"/>
        </w:numPr>
        <w:pStyle w:val="Compact"/>
      </w:pPr>
      <w:r>
        <w:t xml:space="preserve">Increased Phlda3 gene expression was observed in myocardial tissue and rat cardiomyocytes under ischemia/reperfusion (I/R) and hypoxia/reoxygenation (H/R) injury models, respectively. Inhibiting Phlda3 protected against myocardial I/R injury by enhancing Nrf2 activation and regulating the Akt/GSK-3beta axis [PMID: 34351043].</w:t>
      </w:r>
    </w:p>
    <w:p>
      <w:pPr>
        <w:numPr>
          <w:ilvl w:val="0"/>
          <w:numId w:val="1009"/>
        </w:numPr>
        <w:pStyle w:val="Compact"/>
      </w:pPr>
      <w:r>
        <w:t xml:space="preserve">PHLDA3 expression was downregulated in hypertrophic murine hearts and angiotensin II-treated cardiomyocytes. Loss-of-function in PHLDA3 exacerbated pressure overload-induced pathological cardiac hypertrophy, fibrosis, and dysfunction, while overexpression of PHLDA3 mitigated these effects. PHLDA3 inhibited activation of the AKT-mTOR-GSK3beta-P70S6K signaling pathway under hypertrophic stress [PMID: 31426686].</w:t>
      </w:r>
    </w:p>
    <w:p>
      <w:pPr>
        <w:numPr>
          <w:ilvl w:val="0"/>
          <w:numId w:val="1009"/>
        </w:numPr>
        <w:pStyle w:val="Compact"/>
      </w:pPr>
      <w:r>
        <w:t xml:space="preserve">In the renal outer medulla (OM) of gpt delta rats administered ochratoxin A (OTA), a renal carcinogen, there was a significant upregulation in Phlda3 mRNA levels, among other genes associated with OTA induced genotoxicity [PMID: 23358140].</w:t>
      </w:r>
    </w:p>
    <w:bookmarkEnd w:id="66"/>
    <w:bookmarkStart w:id="69"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t xml:space="preserve">Compounds that increase expression of the gene:</w:t>
      </w:r>
    </w:p>
    <w:p>
      <w:pPr>
        <w:numPr>
          <w:ilvl w:val="0"/>
          <w:numId w:val="1010"/>
        </w:numPr>
        <w:pStyle w:val="Compact"/>
      </w:pPr>
      <w:r>
        <w:t xml:space="preserve">1,4-dioxane [PMID: 33693819]</w:t>
      </w:r>
    </w:p>
    <w:p>
      <w:pPr>
        <w:numPr>
          <w:ilvl w:val="0"/>
          <w:numId w:val="1010"/>
        </w:numPr>
        <w:pStyle w:val="Compact"/>
      </w:pPr>
      <w:r>
        <w:t xml:space="preserve">17beta-estradiol [PMID: 32145629]</w:t>
      </w:r>
    </w:p>
    <w:p>
      <w:pPr>
        <w:numPr>
          <w:ilvl w:val="0"/>
          <w:numId w:val="1010"/>
        </w:numPr>
        <w:pStyle w:val="Compact"/>
      </w:pPr>
      <w:r>
        <w:t xml:space="preserve">2-acetamidofluorene [PMID: 21607683, PMID: 22584684]</w:t>
      </w:r>
    </w:p>
    <w:p>
      <w:pPr>
        <w:numPr>
          <w:ilvl w:val="0"/>
          <w:numId w:val="1010"/>
        </w:numPr>
        <w:pStyle w:val="Compact"/>
      </w:pPr>
      <w:r>
        <w:t xml:space="preserve">2-nitrofluorene [PMID: 22484513]</w:t>
      </w:r>
    </w:p>
    <w:p>
      <w:pPr>
        <w:numPr>
          <w:ilvl w:val="0"/>
          <w:numId w:val="1010"/>
        </w:numPr>
        <w:pStyle w:val="Compact"/>
      </w:pPr>
      <w:r>
        <w:t xml:space="preserve">4-(N-nitrosomethylamino)-1-(3-pyridyl)butan-1-one [PMID: 22484513]</w:t>
      </w:r>
    </w:p>
    <w:p>
      <w:pPr>
        <w:numPr>
          <w:ilvl w:val="0"/>
          <w:numId w:val="1010"/>
        </w:numPr>
        <w:pStyle w:val="Compact"/>
      </w:pPr>
      <w:r>
        <w:t xml:space="preserve">N-nitrosodiethylamine [PMID: 21607683, PMID: 24535843]</w:t>
      </w:r>
    </w:p>
    <w:p>
      <w:pPr>
        <w:numPr>
          <w:ilvl w:val="0"/>
          <w:numId w:val="1010"/>
        </w:numPr>
        <w:pStyle w:val="Compact"/>
      </w:pPr>
      <w:r>
        <w:t xml:space="preserve">Triptolide [PMID: 32835833]</w:t>
      </w:r>
    </w:p>
    <w:p>
      <w:pPr>
        <w:numPr>
          <w:ilvl w:val="0"/>
          <w:numId w:val="1010"/>
        </w:numPr>
        <w:pStyle w:val="Compact"/>
      </w:pPr>
      <w:r>
        <w:t xml:space="preserve">acetamide [PMID: 31881176]</w:t>
      </w:r>
    </w:p>
    <w:p>
      <w:pPr>
        <w:numPr>
          <w:ilvl w:val="0"/>
          <w:numId w:val="1010"/>
        </w:numPr>
        <w:pStyle w:val="Compact"/>
      </w:pPr>
      <w:r>
        <w:t xml:space="preserve">aflatoxin B1 [PMID: 22100608, PMID: 23385219, PMID: 23630614, PMID: 25378103, PMID: 27153756]</w:t>
      </w:r>
    </w:p>
    <w:p>
      <w:pPr>
        <w:numPr>
          <w:ilvl w:val="0"/>
          <w:numId w:val="1010"/>
        </w:numPr>
        <w:pStyle w:val="Compact"/>
      </w:pPr>
      <w:r>
        <w:t xml:space="preserve">benzo[a]pyrene [PMID: 21964900]</w:t>
      </w:r>
    </w:p>
    <w:p>
      <w:pPr>
        <w:numPr>
          <w:ilvl w:val="0"/>
          <w:numId w:val="1010"/>
        </w:numPr>
        <w:pStyle w:val="Compact"/>
      </w:pPr>
      <w:r>
        <w:t xml:space="preserve">bisphenol A [PMID: 32145629]</w:t>
      </w:r>
    </w:p>
    <w:p>
      <w:pPr>
        <w:numPr>
          <w:ilvl w:val="0"/>
          <w:numId w:val="1010"/>
        </w:numPr>
        <w:pStyle w:val="Compact"/>
      </w:pPr>
      <w:r>
        <w:t xml:space="preserve">cisplatin [PMID: 33545341]</w:t>
      </w:r>
    </w:p>
    <w:p>
      <w:pPr>
        <w:numPr>
          <w:ilvl w:val="0"/>
          <w:numId w:val="1010"/>
        </w:numPr>
        <w:pStyle w:val="Compact"/>
      </w:pPr>
      <w:r>
        <w:t xml:space="preserve">diclofenac [PMID: 35537566]</w:t>
      </w:r>
    </w:p>
    <w:p>
      <w:pPr>
        <w:numPr>
          <w:ilvl w:val="0"/>
          <w:numId w:val="1010"/>
        </w:numPr>
        <w:pStyle w:val="Compact"/>
      </w:pPr>
      <w:r>
        <w:t xml:space="preserve">furan [PMID: 24183702]</w:t>
      </w:r>
    </w:p>
    <w:p>
      <w:pPr>
        <w:numPr>
          <w:ilvl w:val="0"/>
          <w:numId w:val="1010"/>
        </w:numPr>
        <w:pStyle w:val="Compact"/>
      </w:pPr>
      <w:r>
        <w:t xml:space="preserve">methapyrilene [PMID: 30467583]</w:t>
      </w:r>
    </w:p>
    <w:p>
      <w:pPr>
        <w:numPr>
          <w:ilvl w:val="0"/>
          <w:numId w:val="1010"/>
        </w:numPr>
        <w:pStyle w:val="Compact"/>
      </w:pPr>
      <w:r>
        <w:t xml:space="preserve">phenobarbital [PMID: 19482888]</w:t>
      </w:r>
    </w:p>
    <w:p>
      <w:pPr>
        <w:numPr>
          <w:ilvl w:val="0"/>
          <w:numId w:val="1010"/>
        </w:numPr>
        <w:pStyle w:val="Compact"/>
      </w:pPr>
      <w:r>
        <w:t xml:space="preserve">tamoxifen [PMID: 25123088]</w:t>
      </w:r>
    </w:p>
    <w:p>
      <w:pPr>
        <w:numPr>
          <w:ilvl w:val="0"/>
          <w:numId w:val="1010"/>
        </w:numPr>
        <w:pStyle w:val="Compact"/>
      </w:pPr>
      <w:r>
        <w:t xml:space="preserve">tetrachloromethane [PMID: 31150632, PMID: 31919559]</w:t>
      </w:r>
    </w:p>
    <w:p>
      <w:pPr>
        <w:numPr>
          <w:ilvl w:val="0"/>
          <w:numId w:val="1010"/>
        </w:numPr>
        <w:pStyle w:val="Compact"/>
      </w:pPr>
      <w:r>
        <w:t xml:space="preserve">thioacetamide [PMID: 23411599, PMID: 34492290]</w:t>
      </w:r>
    </w:p>
    <w:p>
      <w:pPr>
        <w:numPr>
          <w:ilvl w:val="0"/>
          <w:numId w:val="1010"/>
        </w:numPr>
        <w:pStyle w:val="Compact"/>
      </w:pPr>
      <w:r>
        <w:t xml:space="preserve">trovafloxacin [PMID: 35537566]</w:t>
      </w:r>
    </w:p>
    <w:bookmarkEnd w:id="67"/>
    <w:bookmarkStart w:id="68" w:name="X66bcf4a0dbd9e6b6c647a73d9cc717b8c3d6d9b"/>
    <w:p>
      <w:pPr>
        <w:pStyle w:val="Heading2"/>
      </w:pPr>
      <w:r>
        <w:t xml:space="preserve">Compounds that decrease expression of the gene:</w:t>
      </w:r>
    </w:p>
    <w:p>
      <w:pPr>
        <w:numPr>
          <w:ilvl w:val="0"/>
          <w:numId w:val="1011"/>
        </w:numPr>
        <w:pStyle w:val="Compact"/>
      </w:pPr>
      <w:r>
        <w:t xml:space="preserve">bis(2-ethylhexyl) phthalate [PMID: 22584684]</w:t>
      </w:r>
    </w:p>
    <w:p>
      <w:pPr>
        <w:numPr>
          <w:ilvl w:val="0"/>
          <w:numId w:val="1011"/>
        </w:numPr>
        <w:pStyle w:val="Compact"/>
      </w:pPr>
      <w:r>
        <w:t xml:space="preserve">leflunomide [PMID: 24136188, PMID: 28988120]</w:t>
      </w:r>
    </w:p>
    <w:p>
      <w:pPr>
        <w:numPr>
          <w:ilvl w:val="0"/>
          <w:numId w:val="1011"/>
        </w:numPr>
        <w:pStyle w:val="Compact"/>
      </w:pPr>
      <w:r>
        <w:t xml:space="preserve">valdecoxib [PMID: 24136188]</w:t>
      </w:r>
    </w:p>
    <w:bookmarkEnd w:id="68"/>
    <w:bookmarkEnd w:id="69"/>
    <w:bookmarkStart w:id="7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 of breast [PMID: 22945757]</w:t>
      </w:r>
    </w:p>
    <w:p>
      <w:pPr>
        <w:numPr>
          <w:ilvl w:val="0"/>
          <w:numId w:val="1012"/>
        </w:numPr>
        <w:pStyle w:val="Compact"/>
      </w:pPr>
      <w:r>
        <w:t xml:space="preserve">Squamous cell carcinoma [PMID: 25667479]</w:t>
      </w:r>
    </w:p>
    <w:p>
      <w:pPr>
        <w:numPr>
          <w:ilvl w:val="0"/>
          <w:numId w:val="1012"/>
        </w:numPr>
        <w:pStyle w:val="Compact"/>
      </w:pPr>
      <w:r>
        <w:t xml:space="preserve">Squamous cell carcinoma of esophagus [PMID: 25667479]</w:t>
      </w:r>
    </w:p>
    <w:p>
      <w:pPr>
        <w:numPr>
          <w:ilvl w:val="0"/>
          <w:numId w:val="1012"/>
        </w:numPr>
        <w:pStyle w:val="Compact"/>
      </w:pPr>
      <w:r>
        <w:t xml:space="preserve">Recurrent tumor [PMID: 25667479]</w:t>
      </w:r>
    </w:p>
    <w:p>
      <w:pPr>
        <w:numPr>
          <w:ilvl w:val="0"/>
          <w:numId w:val="1012"/>
        </w:numPr>
        <w:pStyle w:val="Compact"/>
      </w:pPr>
      <w:r>
        <w:t xml:space="preserve">Tumor Cell Invasion [PMID: 26218012]</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61" Target="http://dx.doi.org/10.20381/ruor-4128" TargetMode="External" /><Relationship Type="http://schemas.openxmlformats.org/officeDocument/2006/relationships/hyperlink" Id="rId40" Target="https://alphafold.ebi.ac.uk/entry/Q5PQT7" TargetMode="External" /><Relationship Type="http://schemas.openxmlformats.org/officeDocument/2006/relationships/hyperlink" Id="rId39" Target="https://alphafold.ebi.ac.uk/entry/Q9Y5J5" TargetMode="External" /><Relationship Type="http://schemas.openxmlformats.org/officeDocument/2006/relationships/hyperlink" Id="rId29" Target="https://maayanlab.cloud/Harmonizome/gene/PHLDA3" TargetMode="External" /><Relationship Type="http://schemas.openxmlformats.org/officeDocument/2006/relationships/hyperlink" Id="rId46" Target="https://pubchem.ncbi.nlm.nih.gov/pathway/WikiPathways:WP4286" TargetMode="External" /><Relationship Type="http://schemas.openxmlformats.org/officeDocument/2006/relationships/hyperlink" Id="rId34" Target="https://rgd.mcw.edu/rgdweb/report/gene/main.html?id=1310502" TargetMode="External" /><Relationship Type="http://schemas.openxmlformats.org/officeDocument/2006/relationships/hyperlink" Id="rId32" Target="https://useast.ensembl.org/Homo_sapiens/Gene/Summary?g=ENSG00000174307" TargetMode="External" /><Relationship Type="http://schemas.openxmlformats.org/officeDocument/2006/relationships/hyperlink" Id="rId33" Target="https://useast.ensembl.org/Rattus_norvegicus/Gene/Summary?g=ENSRNOG00000009068" TargetMode="External" /><Relationship Type="http://schemas.openxmlformats.org/officeDocument/2006/relationships/hyperlink" Id="rId43" Target="https://www.cellsignal.com/pathways/autophagy-signaling-pathway" TargetMode="External" /><Relationship Type="http://schemas.openxmlformats.org/officeDocument/2006/relationships/hyperlink" Id="rId44" Target="https://www.cellsignal.com/pathways/dna-damage-response-pathway" TargetMode="External" /><Relationship Type="http://schemas.openxmlformats.org/officeDocument/2006/relationships/hyperlink" Id="rId45" Target="https://www.cellsignal.com/pathways/pathways-akt-signaling" TargetMode="External" /><Relationship Type="http://schemas.openxmlformats.org/officeDocument/2006/relationships/hyperlink" Id="rId42" Target="https://www.cellsignal.com/pathways/regulation-of-apoptosis-pathway" TargetMode="External" /><Relationship Type="http://schemas.openxmlformats.org/officeDocument/2006/relationships/hyperlink" Id="rId28" Target="https://www.genecards.org/cgi-bin/carddisp.pl?gene=PHLDA3" TargetMode="External" /><Relationship Type="http://schemas.openxmlformats.org/officeDocument/2006/relationships/hyperlink" Id="rId20" Target="https://www.genecards.org/cgi-bin/carddisp.pl?gene=PHLDA3&amp;keywords=Phlda3" TargetMode="External" /><Relationship Type="http://schemas.openxmlformats.org/officeDocument/2006/relationships/hyperlink" Id="rId49" Target="https://www.gsea-msigdb.org/gsea/msigdb/human/geneset/ACEVEDO_LIVER_CANCER_UP.html" TargetMode="External" /><Relationship Type="http://schemas.openxmlformats.org/officeDocument/2006/relationships/hyperlink" Id="rId52" Target="https://www.gsea-msigdb.org/gsea/msigdb/human/geneset/AMIT_EGF_RESPONSE_120_MCF10A.html" TargetMode="External" /><Relationship Type="http://schemas.openxmlformats.org/officeDocument/2006/relationships/hyperlink" Id="rId51" Target="https://www.gsea-msigdb.org/gsea/msigdb/human/geneset/AMIT_SERUM_RESPONSE_240_MCF10A.html" TargetMode="External" /><Relationship Type="http://schemas.openxmlformats.org/officeDocument/2006/relationships/hyperlink" Id="rId53" Target="https://www.gsea-msigdb.org/gsea/msigdb/human/geneset/FISCHER_DIRECT_P53_TARGETS_META_ANALYSIS.html" TargetMode="External" /><Relationship Type="http://schemas.openxmlformats.org/officeDocument/2006/relationships/hyperlink" Id="rId50" Target="https://www.gsea-msigdb.org/gsea/msigdb/human/geneset/RODWELL_AGING_KIDNEY_NO_BLOOD_UP.html" TargetMode="External" /><Relationship Type="http://schemas.openxmlformats.org/officeDocument/2006/relationships/hyperlink" Id="rId30" Target="https://www.ncbi.nlm.nih.gov/gene/23612" TargetMode="External" /><Relationship Type="http://schemas.openxmlformats.org/officeDocument/2006/relationships/hyperlink" Id="rId31" Target="https://www.ncbi.nlm.nih.gov/gene/363989" TargetMode="External" /><Relationship Type="http://schemas.openxmlformats.org/officeDocument/2006/relationships/hyperlink" Id="rId23" Target="https://www.ncbi.nlm.nih.gov/pubmed/30173864" TargetMode="External" /><Relationship Type="http://schemas.openxmlformats.org/officeDocument/2006/relationships/hyperlink" Id="rId22" Target="https://www.ncbi.nlm.nih.gov/pubmed/30678831" TargetMode="External" /><Relationship Type="http://schemas.openxmlformats.org/officeDocument/2006/relationships/hyperlink" Id="rId64" Target="https://www.proteinatlas.org/ENSG00000174307/single+cell+type" TargetMode="External" /><Relationship Type="http://schemas.openxmlformats.org/officeDocument/2006/relationships/hyperlink" Id="rId57" Target="https://www.proteinatlas.org/ENSG00000174307/subcellular" TargetMode="External" /><Relationship Type="http://schemas.openxmlformats.org/officeDocument/2006/relationships/hyperlink" Id="rId63" Target="https://www.proteinatlas.org/ENSG00000174307/tissue" TargetMode="External" /><Relationship Type="http://schemas.openxmlformats.org/officeDocument/2006/relationships/hyperlink" Id="rId36" Target="https://www.uniprot.org/uniprotkb/Q5PQT7" TargetMode="External" /><Relationship Type="http://schemas.openxmlformats.org/officeDocument/2006/relationships/hyperlink" Id="rId35" Target="https://www.uniprot.org/uniprotkb/Q9Y5J5" TargetMode="External" /><Relationship Type="http://schemas.openxmlformats.org/officeDocument/2006/relationships/hyperlink" Id="rId37" Target="https://www.wikigenes.org/e/gene/e/23612.html" TargetMode="External" /><Relationship Type="http://schemas.openxmlformats.org/officeDocument/2006/relationships/hyperlink" Id="rId38" Target="https://www.wikigenes.org/e/gene/e/363989.html" TargetMode="External" /></Relationships>
</file>

<file path=word/_rels/footnotes.xml.rels><?xml version="1.0" encoding="UTF-8"?><Relationships xmlns="http://schemas.openxmlformats.org/package/2006/relationships"><Relationship Type="http://schemas.openxmlformats.org/officeDocument/2006/relationships/hyperlink" Id="rId61" Target="http://dx.doi.org/10.20381/ruor-4128" TargetMode="External" /><Relationship Type="http://schemas.openxmlformats.org/officeDocument/2006/relationships/hyperlink" Id="rId40" Target="https://alphafold.ebi.ac.uk/entry/Q5PQT7" TargetMode="External" /><Relationship Type="http://schemas.openxmlformats.org/officeDocument/2006/relationships/hyperlink" Id="rId39" Target="https://alphafold.ebi.ac.uk/entry/Q9Y5J5" TargetMode="External" /><Relationship Type="http://schemas.openxmlformats.org/officeDocument/2006/relationships/hyperlink" Id="rId29" Target="https://maayanlab.cloud/Harmonizome/gene/PHLDA3" TargetMode="External" /><Relationship Type="http://schemas.openxmlformats.org/officeDocument/2006/relationships/hyperlink" Id="rId46" Target="https://pubchem.ncbi.nlm.nih.gov/pathway/WikiPathways:WP4286" TargetMode="External" /><Relationship Type="http://schemas.openxmlformats.org/officeDocument/2006/relationships/hyperlink" Id="rId34" Target="https://rgd.mcw.edu/rgdweb/report/gene/main.html?id=1310502" TargetMode="External" /><Relationship Type="http://schemas.openxmlformats.org/officeDocument/2006/relationships/hyperlink" Id="rId32" Target="https://useast.ensembl.org/Homo_sapiens/Gene/Summary?g=ENSG00000174307" TargetMode="External" /><Relationship Type="http://schemas.openxmlformats.org/officeDocument/2006/relationships/hyperlink" Id="rId33" Target="https://useast.ensembl.org/Rattus_norvegicus/Gene/Summary?g=ENSRNOG00000009068" TargetMode="External" /><Relationship Type="http://schemas.openxmlformats.org/officeDocument/2006/relationships/hyperlink" Id="rId43" Target="https://www.cellsignal.com/pathways/autophagy-signaling-pathway" TargetMode="External" /><Relationship Type="http://schemas.openxmlformats.org/officeDocument/2006/relationships/hyperlink" Id="rId44" Target="https://www.cellsignal.com/pathways/dna-damage-response-pathway" TargetMode="External" /><Relationship Type="http://schemas.openxmlformats.org/officeDocument/2006/relationships/hyperlink" Id="rId45" Target="https://www.cellsignal.com/pathways/pathways-akt-signaling" TargetMode="External" /><Relationship Type="http://schemas.openxmlformats.org/officeDocument/2006/relationships/hyperlink" Id="rId42" Target="https://www.cellsignal.com/pathways/regulation-of-apoptosis-pathway" TargetMode="External" /><Relationship Type="http://schemas.openxmlformats.org/officeDocument/2006/relationships/hyperlink" Id="rId28" Target="https://www.genecards.org/cgi-bin/carddisp.pl?gene=PHLDA3" TargetMode="External" /><Relationship Type="http://schemas.openxmlformats.org/officeDocument/2006/relationships/hyperlink" Id="rId20" Target="https://www.genecards.org/cgi-bin/carddisp.pl?gene=PHLDA3&amp;keywords=Phlda3" TargetMode="External" /><Relationship Type="http://schemas.openxmlformats.org/officeDocument/2006/relationships/hyperlink" Id="rId49" Target="https://www.gsea-msigdb.org/gsea/msigdb/human/geneset/ACEVEDO_LIVER_CANCER_UP.html" TargetMode="External" /><Relationship Type="http://schemas.openxmlformats.org/officeDocument/2006/relationships/hyperlink" Id="rId52" Target="https://www.gsea-msigdb.org/gsea/msigdb/human/geneset/AMIT_EGF_RESPONSE_120_MCF10A.html" TargetMode="External" /><Relationship Type="http://schemas.openxmlformats.org/officeDocument/2006/relationships/hyperlink" Id="rId51" Target="https://www.gsea-msigdb.org/gsea/msigdb/human/geneset/AMIT_SERUM_RESPONSE_240_MCF10A.html" TargetMode="External" /><Relationship Type="http://schemas.openxmlformats.org/officeDocument/2006/relationships/hyperlink" Id="rId53" Target="https://www.gsea-msigdb.org/gsea/msigdb/human/geneset/FISCHER_DIRECT_P53_TARGETS_META_ANALYSIS.html" TargetMode="External" /><Relationship Type="http://schemas.openxmlformats.org/officeDocument/2006/relationships/hyperlink" Id="rId50" Target="https://www.gsea-msigdb.org/gsea/msigdb/human/geneset/RODWELL_AGING_KIDNEY_NO_BLOOD_UP.html" TargetMode="External" /><Relationship Type="http://schemas.openxmlformats.org/officeDocument/2006/relationships/hyperlink" Id="rId30" Target="https://www.ncbi.nlm.nih.gov/gene/23612" TargetMode="External" /><Relationship Type="http://schemas.openxmlformats.org/officeDocument/2006/relationships/hyperlink" Id="rId31" Target="https://www.ncbi.nlm.nih.gov/gene/363989" TargetMode="External" /><Relationship Type="http://schemas.openxmlformats.org/officeDocument/2006/relationships/hyperlink" Id="rId23" Target="https://www.ncbi.nlm.nih.gov/pubmed/30173864" TargetMode="External" /><Relationship Type="http://schemas.openxmlformats.org/officeDocument/2006/relationships/hyperlink" Id="rId22" Target="https://www.ncbi.nlm.nih.gov/pubmed/30678831" TargetMode="External" /><Relationship Type="http://schemas.openxmlformats.org/officeDocument/2006/relationships/hyperlink" Id="rId64" Target="https://www.proteinatlas.org/ENSG00000174307/single+cell+type" TargetMode="External" /><Relationship Type="http://schemas.openxmlformats.org/officeDocument/2006/relationships/hyperlink" Id="rId57" Target="https://www.proteinatlas.org/ENSG00000174307/subcellular" TargetMode="External" /><Relationship Type="http://schemas.openxmlformats.org/officeDocument/2006/relationships/hyperlink" Id="rId63" Target="https://www.proteinatlas.org/ENSG00000174307/tissue" TargetMode="External" /><Relationship Type="http://schemas.openxmlformats.org/officeDocument/2006/relationships/hyperlink" Id="rId36" Target="https://www.uniprot.org/uniprotkb/Q5PQT7" TargetMode="External" /><Relationship Type="http://schemas.openxmlformats.org/officeDocument/2006/relationships/hyperlink" Id="rId35" Target="https://www.uniprot.org/uniprotkb/Q9Y5J5" TargetMode="External" /><Relationship Type="http://schemas.openxmlformats.org/officeDocument/2006/relationships/hyperlink" Id="rId37" Target="https://www.wikigenes.org/e/gene/e/23612.html" TargetMode="External" /><Relationship Type="http://schemas.openxmlformats.org/officeDocument/2006/relationships/hyperlink" Id="rId38" Target="https://www.wikigenes.org/e/gene/e/36398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2025-03-12T03:43:38Z</dcterms:created>
  <dcterms:modified xsi:type="dcterms:W3CDTF">2025-03-12T03:43:38Z</dcterms:modified>
</cp:coreProperties>
</file>

<file path=docProps/custom.xml><?xml version="1.0" encoding="utf-8"?>
<Properties xmlns="http://schemas.openxmlformats.org/officeDocument/2006/custom-properties" xmlns:vt="http://schemas.openxmlformats.org/officeDocument/2006/docPropsVTypes"/>
</file>