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C4FD" w14:textId="4979FF57" w:rsidR="004A5010" w:rsidRPr="004A5010" w:rsidRDefault="004A5010" w:rsidP="004A5010">
      <w:pPr>
        <w:pStyle w:val="Heading1"/>
        <w:rPr>
          <w:rFonts w:ascii="Times New Roman" w:hAnsi="Times New Roman" w:cs="Times New Roman"/>
          <w:noProof/>
        </w:rPr>
      </w:pPr>
      <w:r w:rsidRPr="004A5010">
        <w:rPr>
          <w:rFonts w:ascii="Times New Roman" w:hAnsi="Times New Roman" w:cs="Times New Roman"/>
          <w:noProof/>
        </w:rPr>
        <w:t>Supplemental Figures</w:t>
      </w:r>
    </w:p>
    <w:p w14:paraId="392DF3F0" w14:textId="77777777" w:rsidR="004A5010" w:rsidRDefault="004A5010">
      <w:pPr>
        <w:rPr>
          <w:noProof/>
        </w:rPr>
      </w:pPr>
    </w:p>
    <w:p w14:paraId="3DCF7630" w14:textId="7FD8BF40" w:rsidR="00241DC8" w:rsidRDefault="00D71417">
      <w:r>
        <w:rPr>
          <w:noProof/>
        </w:rPr>
        <w:drawing>
          <wp:inline distT="0" distB="0" distL="0" distR="0" wp14:anchorId="5BA46A06" wp14:editId="285A80B0">
            <wp:extent cx="5491523" cy="4118642"/>
            <wp:effectExtent l="0" t="0" r="0" b="0"/>
            <wp:docPr id="181136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66418" name="Picture 18113664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92610" cy="4119457"/>
                    </a:xfrm>
                    <a:prstGeom prst="rect">
                      <a:avLst/>
                    </a:prstGeom>
                  </pic:spPr>
                </pic:pic>
              </a:graphicData>
            </a:graphic>
          </wp:inline>
        </w:drawing>
      </w:r>
    </w:p>
    <w:p w14:paraId="1FC2DC75" w14:textId="4F7E420D" w:rsidR="00D71417" w:rsidRDefault="00D71417">
      <w:pPr>
        <w:rPr>
          <w:rFonts w:ascii="Times New Roman" w:hAnsi="Times New Roman" w:cs="Times New Roman"/>
        </w:rPr>
      </w:pPr>
      <w:r w:rsidRPr="004A5010">
        <w:rPr>
          <w:rFonts w:ascii="Times New Roman" w:hAnsi="Times New Roman" w:cs="Times New Roman"/>
        </w:rPr>
        <w:t xml:space="preserve">Supplemental Figure 1: </w:t>
      </w:r>
      <w:r w:rsidR="004A5010" w:rsidRPr="004A5010">
        <w:rPr>
          <w:rFonts w:ascii="Times New Roman" w:hAnsi="Times New Roman" w:cs="Times New Roman"/>
        </w:rPr>
        <w:t>Comparison of DNT and DT potency across laboratories. Boxplots show the distribution of the log₁₀ differences between DT and DNT BMC values (log₁</w:t>
      </w:r>
      <w:proofErr w:type="gramStart"/>
      <w:r w:rsidR="004A5010" w:rsidRPr="004A5010">
        <w:rPr>
          <w:rFonts w:ascii="Times New Roman" w:hAnsi="Times New Roman" w:cs="Times New Roman"/>
        </w:rPr>
        <w:t>₀[</w:t>
      </w:r>
      <w:proofErr w:type="gramEnd"/>
      <w:r w:rsidR="004A5010" w:rsidRPr="004A5010">
        <w:rPr>
          <w:rFonts w:ascii="Times New Roman" w:hAnsi="Times New Roman" w:cs="Times New Roman"/>
        </w:rPr>
        <w:t>DT BMC – DNT BMC]) for compounds that were active in both endpoints within each laboratory. Positive values indicate greater DNT potency (lower BMC), whereas negative values indicate greater DT potency. Individual points represent plate-level differences. The red dashed line at zero denotes equal potency between DT and DNT.</w:t>
      </w:r>
    </w:p>
    <w:p w14:paraId="15464D5F" w14:textId="1FEB579E" w:rsidR="007813BE" w:rsidRDefault="006A1E79">
      <w:pPr>
        <w:rPr>
          <w:rFonts w:ascii="Times New Roman" w:hAnsi="Times New Roman" w:cs="Times New Roman"/>
        </w:rPr>
      </w:pPr>
      <w:r>
        <w:rPr>
          <w:rFonts w:ascii="Times New Roman" w:hAnsi="Times New Roman" w:cs="Times New Roman"/>
          <w:noProof/>
        </w:rPr>
        <w:lastRenderedPageBreak/>
        <w:drawing>
          <wp:inline distT="0" distB="0" distL="0" distR="0" wp14:anchorId="7B78113C" wp14:editId="1425A543">
            <wp:extent cx="5527343" cy="3569152"/>
            <wp:effectExtent l="0" t="0" r="0" b="0"/>
            <wp:docPr id="2141109984" name="Picture 1" descr="A picture containing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09984" name="Picture 1" descr="A picture containing bar char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30362" cy="3571101"/>
                    </a:xfrm>
                    <a:prstGeom prst="rect">
                      <a:avLst/>
                    </a:prstGeom>
                  </pic:spPr>
                </pic:pic>
              </a:graphicData>
            </a:graphic>
          </wp:inline>
        </w:drawing>
      </w:r>
      <w:r w:rsidR="007813BE" w:rsidRPr="007813BE">
        <w:rPr>
          <w:rFonts w:ascii="Times New Roman" w:hAnsi="Times New Roman" w:cs="Times New Roman"/>
        </w:rPr>
        <w:t xml:space="preserve"> </w:t>
      </w:r>
      <w:r w:rsidR="007813BE" w:rsidRPr="004A5010">
        <w:rPr>
          <w:rFonts w:ascii="Times New Roman" w:hAnsi="Times New Roman" w:cs="Times New Roman"/>
        </w:rPr>
        <w:t xml:space="preserve">Supplemental Figure </w:t>
      </w:r>
      <w:r w:rsidR="007813BE">
        <w:rPr>
          <w:rFonts w:ascii="Times New Roman" w:hAnsi="Times New Roman" w:cs="Times New Roman"/>
        </w:rPr>
        <w:t>2</w:t>
      </w:r>
      <w:r w:rsidR="007813BE" w:rsidRPr="004A5010">
        <w:rPr>
          <w:rFonts w:ascii="Times New Roman" w:hAnsi="Times New Roman" w:cs="Times New Roman"/>
        </w:rPr>
        <w:t xml:space="preserve">: </w:t>
      </w:r>
      <w:r w:rsidR="00694B65" w:rsidRPr="00694B65">
        <w:rPr>
          <w:rFonts w:ascii="Times New Roman" w:hAnsi="Times New Roman" w:cs="Times New Roman"/>
        </w:rPr>
        <w:t xml:space="preserve">Heatmap representing the DNT and DT activities of </w:t>
      </w:r>
      <w:r w:rsidR="00694B65">
        <w:rPr>
          <w:rFonts w:ascii="Times New Roman" w:hAnsi="Times New Roman" w:cs="Times New Roman"/>
        </w:rPr>
        <w:t>1</w:t>
      </w:r>
      <w:r>
        <w:rPr>
          <w:rFonts w:ascii="Times New Roman" w:hAnsi="Times New Roman" w:cs="Times New Roman"/>
        </w:rPr>
        <w:t>1</w:t>
      </w:r>
      <w:r w:rsidR="00694B65" w:rsidRPr="00694B65">
        <w:rPr>
          <w:rFonts w:ascii="Times New Roman" w:hAnsi="Times New Roman" w:cs="Times New Roman"/>
        </w:rPr>
        <w:t xml:space="preserve"> compounds (rows) across four laboratories (columns: Lab-A to Lab-D). </w:t>
      </w:r>
      <w:r w:rsidR="00694B65">
        <w:rPr>
          <w:rFonts w:ascii="Times New Roman" w:hAnsi="Times New Roman" w:cs="Times New Roman"/>
        </w:rPr>
        <w:t>O</w:t>
      </w:r>
      <w:r w:rsidR="00694B65" w:rsidRPr="00694B65">
        <w:rPr>
          <w:rFonts w:ascii="Times New Roman" w:hAnsi="Times New Roman" w:cs="Times New Roman"/>
        </w:rPr>
        <w:t>ne chemical was comparable across Labs A</w:t>
      </w:r>
      <w:r w:rsidR="00A62F16">
        <w:rPr>
          <w:rFonts w:ascii="Times New Roman" w:hAnsi="Times New Roman" w:cs="Times New Roman"/>
        </w:rPr>
        <w:t>-</w:t>
      </w:r>
      <w:r w:rsidR="00694B65" w:rsidRPr="00694B65">
        <w:rPr>
          <w:rFonts w:ascii="Times New Roman" w:hAnsi="Times New Roman" w:cs="Times New Roman"/>
        </w:rPr>
        <w:t>B</w:t>
      </w:r>
      <w:r w:rsidR="00A62F16">
        <w:rPr>
          <w:rFonts w:ascii="Times New Roman" w:hAnsi="Times New Roman" w:cs="Times New Roman"/>
        </w:rPr>
        <w:t>-</w:t>
      </w:r>
      <w:r w:rsidR="00694B65" w:rsidRPr="00694B65">
        <w:rPr>
          <w:rFonts w:ascii="Times New Roman" w:hAnsi="Times New Roman" w:cs="Times New Roman"/>
        </w:rPr>
        <w:t xml:space="preserve">C, </w:t>
      </w:r>
      <w:r>
        <w:rPr>
          <w:rFonts w:ascii="Times New Roman" w:hAnsi="Times New Roman" w:cs="Times New Roman"/>
        </w:rPr>
        <w:t>four</w:t>
      </w:r>
      <w:r w:rsidR="00694B65" w:rsidRPr="00694B65">
        <w:rPr>
          <w:rFonts w:ascii="Times New Roman" w:hAnsi="Times New Roman" w:cs="Times New Roman"/>
        </w:rPr>
        <w:t xml:space="preserve"> chemicals were comparable across Labs A</w:t>
      </w:r>
      <w:r w:rsidR="00A62F16">
        <w:rPr>
          <w:rFonts w:ascii="Times New Roman" w:hAnsi="Times New Roman" w:cs="Times New Roman"/>
        </w:rPr>
        <w:t>-</w:t>
      </w:r>
      <w:r w:rsidR="00694B65" w:rsidRPr="00694B65">
        <w:rPr>
          <w:rFonts w:ascii="Times New Roman" w:hAnsi="Times New Roman" w:cs="Times New Roman"/>
        </w:rPr>
        <w:t>B</w:t>
      </w:r>
      <w:r w:rsidR="00A62F16">
        <w:rPr>
          <w:rFonts w:ascii="Times New Roman" w:hAnsi="Times New Roman" w:cs="Times New Roman"/>
        </w:rPr>
        <w:t>-</w:t>
      </w:r>
      <w:r w:rsidR="00694B65" w:rsidRPr="00694B65">
        <w:rPr>
          <w:rFonts w:ascii="Times New Roman" w:hAnsi="Times New Roman" w:cs="Times New Roman"/>
        </w:rPr>
        <w:t>D, and six chemicals were comparable across Labs A</w:t>
      </w:r>
      <w:r w:rsidR="00A62F16">
        <w:rPr>
          <w:rFonts w:ascii="Times New Roman" w:hAnsi="Times New Roman" w:cs="Times New Roman"/>
        </w:rPr>
        <w:t>-</w:t>
      </w:r>
      <w:r w:rsidR="00694B65" w:rsidRPr="00694B65">
        <w:rPr>
          <w:rFonts w:ascii="Times New Roman" w:hAnsi="Times New Roman" w:cs="Times New Roman"/>
        </w:rPr>
        <w:t>C</w:t>
      </w:r>
      <w:r w:rsidR="00A62F16">
        <w:rPr>
          <w:rFonts w:ascii="Times New Roman" w:hAnsi="Times New Roman" w:cs="Times New Roman"/>
        </w:rPr>
        <w:t>-</w:t>
      </w:r>
      <w:r w:rsidR="00694B65" w:rsidRPr="00694B65">
        <w:rPr>
          <w:rFonts w:ascii="Times New Roman" w:hAnsi="Times New Roman" w:cs="Times New Roman"/>
        </w:rPr>
        <w:t>D.</w:t>
      </w:r>
      <w:r w:rsidR="00694B65">
        <w:rPr>
          <w:rFonts w:ascii="Times New Roman" w:hAnsi="Times New Roman" w:cs="Times New Roman"/>
        </w:rPr>
        <w:t xml:space="preserve"> </w:t>
      </w:r>
      <w:r w:rsidR="00694B65" w:rsidRPr="00694B65">
        <w:rPr>
          <w:rFonts w:ascii="Times New Roman" w:hAnsi="Times New Roman" w:cs="Times New Roman"/>
        </w:rPr>
        <w:t xml:space="preserve">The color gradient within each cell illustrates benchmark concentration (BMC) values in µM, ranging from 0.01 µM (lighter shades) to 100 µM (darker shades). Gray cells indicate inactive effects. </w:t>
      </w:r>
      <w:r w:rsidR="00694B65">
        <w:rPr>
          <w:rFonts w:ascii="Times New Roman" w:hAnsi="Times New Roman" w:cs="Times New Roman"/>
        </w:rPr>
        <w:t xml:space="preserve">Blank cells indicate “no comparable data”. </w:t>
      </w:r>
      <w:r w:rsidR="00694B65" w:rsidRPr="00694B65">
        <w:rPr>
          <w:rFonts w:ascii="Times New Roman" w:hAnsi="Times New Roman" w:cs="Times New Roman"/>
        </w:rPr>
        <w:t>Compounds have been hierarchically clustered based on their DNT activities to highlight patterns and similarities. An additional column, labeled as 'top’ (duplicated on both sides for easy comparison), displays the highest concentration used in the assays for each compound. The use category of each compound and their associated </w:t>
      </w:r>
      <w:proofErr w:type="spellStart"/>
      <w:r w:rsidR="00694B65" w:rsidRPr="00694B65">
        <w:rPr>
          <w:rFonts w:ascii="Times New Roman" w:hAnsi="Times New Roman" w:cs="Times New Roman"/>
        </w:rPr>
        <w:t>logKow</w:t>
      </w:r>
      <w:proofErr w:type="spellEnd"/>
      <w:r w:rsidR="00694B65" w:rsidRPr="00694B65">
        <w:rPr>
          <w:rFonts w:ascii="Times New Roman" w:hAnsi="Times New Roman" w:cs="Times New Roman"/>
        </w:rPr>
        <w:t> values are presented in separate columns. Within the DNT cells, the numbers denote the count of active endpoints identified. </w:t>
      </w:r>
    </w:p>
    <w:p w14:paraId="344842E1" w14:textId="1155C530" w:rsidR="007813BE" w:rsidRPr="004A5010" w:rsidRDefault="00751EB5">
      <w:pPr>
        <w:rPr>
          <w:rFonts w:ascii="Times New Roman" w:hAnsi="Times New Roman" w:cs="Times New Roman"/>
        </w:rPr>
      </w:pPr>
      <w:r>
        <w:rPr>
          <w:rFonts w:ascii="Times New Roman" w:hAnsi="Times New Roman" w:cs="Times New Roman"/>
          <w:noProof/>
        </w:rPr>
        <w:lastRenderedPageBreak/>
        <w:drawing>
          <wp:inline distT="0" distB="0" distL="0" distR="0" wp14:anchorId="227A8859" wp14:editId="21960AB6">
            <wp:extent cx="4879075" cy="3770336"/>
            <wp:effectExtent l="0" t="0" r="0" b="1905"/>
            <wp:docPr id="1592677604" name="Picture 2" descr="Chart, box and whiske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77604" name="Picture 2" descr="Chart, box and whisker cha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3941" cy="3774096"/>
                    </a:xfrm>
                    <a:prstGeom prst="rect">
                      <a:avLst/>
                    </a:prstGeom>
                  </pic:spPr>
                </pic:pic>
              </a:graphicData>
            </a:graphic>
          </wp:inline>
        </w:drawing>
      </w:r>
    </w:p>
    <w:p w14:paraId="24A18A88" w14:textId="10AC19AB" w:rsidR="004A5010" w:rsidRDefault="007813BE">
      <w:r w:rsidRPr="004A5010">
        <w:rPr>
          <w:rFonts w:ascii="Times New Roman" w:hAnsi="Times New Roman" w:cs="Times New Roman"/>
        </w:rPr>
        <w:t xml:space="preserve">Supplemental Figure </w:t>
      </w:r>
      <w:r>
        <w:rPr>
          <w:rFonts w:ascii="Times New Roman" w:hAnsi="Times New Roman" w:cs="Times New Roman"/>
        </w:rPr>
        <w:t>3</w:t>
      </w:r>
      <w:r w:rsidRPr="004A5010">
        <w:rPr>
          <w:rFonts w:ascii="Times New Roman" w:hAnsi="Times New Roman" w:cs="Times New Roman"/>
        </w:rPr>
        <w:t xml:space="preserve">: </w:t>
      </w:r>
      <w:r w:rsidR="00694B65" w:rsidRPr="00694B65">
        <w:rPr>
          <w:rFonts w:ascii="Times New Roman" w:hAnsi="Times New Roman" w:cs="Times New Roman"/>
        </w:rPr>
        <w:t xml:space="preserve">This plot presents the benchmark concentrations (BMC) for the effects of </w:t>
      </w:r>
      <w:r w:rsidR="00694B65">
        <w:rPr>
          <w:rFonts w:ascii="Times New Roman" w:hAnsi="Times New Roman" w:cs="Times New Roman"/>
        </w:rPr>
        <w:t>1</w:t>
      </w:r>
      <w:r w:rsidR="006A1E79">
        <w:rPr>
          <w:rFonts w:ascii="Times New Roman" w:hAnsi="Times New Roman" w:cs="Times New Roman"/>
        </w:rPr>
        <w:t>1</w:t>
      </w:r>
      <w:r w:rsidR="00694B65" w:rsidRPr="00694B65">
        <w:rPr>
          <w:rFonts w:ascii="Times New Roman" w:hAnsi="Times New Roman" w:cs="Times New Roman"/>
        </w:rPr>
        <w:t xml:space="preserve"> compounds in zebrafish, illustrating DNT (red markers) and DT (black markers) effect, as depicted in the heatmap in </w:t>
      </w:r>
      <w:r w:rsidR="00694B65">
        <w:rPr>
          <w:rFonts w:ascii="Times New Roman" w:hAnsi="Times New Roman" w:cs="Times New Roman"/>
        </w:rPr>
        <w:t>Supplemental Figure 2</w:t>
      </w:r>
      <w:r w:rsidR="00694B65" w:rsidRPr="00694B65">
        <w:rPr>
          <w:rFonts w:ascii="Times New Roman" w:hAnsi="Times New Roman" w:cs="Times New Roman"/>
        </w:rPr>
        <w:t xml:space="preserve">. The order of the compounds follows the sequence used in </w:t>
      </w:r>
      <w:r w:rsidR="00694B65">
        <w:rPr>
          <w:rFonts w:ascii="Times New Roman" w:hAnsi="Times New Roman" w:cs="Times New Roman"/>
        </w:rPr>
        <w:t>Supplemental Figure 2</w:t>
      </w:r>
      <w:r w:rsidR="00694B65" w:rsidRPr="00694B65">
        <w:rPr>
          <w:rFonts w:ascii="Times New Roman" w:hAnsi="Times New Roman" w:cs="Times New Roman"/>
        </w:rPr>
        <w:t xml:space="preserve">. </w:t>
      </w:r>
      <w:r w:rsidR="00694B65">
        <w:rPr>
          <w:rFonts w:ascii="Times New Roman" w:hAnsi="Times New Roman" w:cs="Times New Roman"/>
        </w:rPr>
        <w:t>O</w:t>
      </w:r>
      <w:r w:rsidR="00694B65" w:rsidRPr="00694B65">
        <w:rPr>
          <w:rFonts w:ascii="Times New Roman" w:hAnsi="Times New Roman" w:cs="Times New Roman"/>
        </w:rPr>
        <w:t>ne chemical was comparable across Labs A</w:t>
      </w:r>
      <w:r w:rsidR="00A62F16">
        <w:rPr>
          <w:rFonts w:ascii="Times New Roman" w:hAnsi="Times New Roman" w:cs="Times New Roman"/>
        </w:rPr>
        <w:t>-</w:t>
      </w:r>
      <w:r w:rsidR="00694B65" w:rsidRPr="00694B65">
        <w:rPr>
          <w:rFonts w:ascii="Times New Roman" w:hAnsi="Times New Roman" w:cs="Times New Roman"/>
        </w:rPr>
        <w:t>B</w:t>
      </w:r>
      <w:r w:rsidR="00A62F16">
        <w:rPr>
          <w:rFonts w:ascii="Times New Roman" w:hAnsi="Times New Roman" w:cs="Times New Roman"/>
        </w:rPr>
        <w:t>-</w:t>
      </w:r>
      <w:r w:rsidR="00694B65" w:rsidRPr="00694B65">
        <w:rPr>
          <w:rFonts w:ascii="Times New Roman" w:hAnsi="Times New Roman" w:cs="Times New Roman"/>
        </w:rPr>
        <w:t xml:space="preserve">C, </w:t>
      </w:r>
      <w:r w:rsidR="006A1E79">
        <w:rPr>
          <w:rFonts w:ascii="Times New Roman" w:hAnsi="Times New Roman" w:cs="Times New Roman"/>
        </w:rPr>
        <w:t>four</w:t>
      </w:r>
      <w:r w:rsidR="00694B65" w:rsidRPr="00694B65">
        <w:rPr>
          <w:rFonts w:ascii="Times New Roman" w:hAnsi="Times New Roman" w:cs="Times New Roman"/>
        </w:rPr>
        <w:t xml:space="preserve"> chemicals were comparable across Labs A</w:t>
      </w:r>
      <w:r w:rsidR="00A62F16">
        <w:rPr>
          <w:rFonts w:ascii="Times New Roman" w:hAnsi="Times New Roman" w:cs="Times New Roman"/>
        </w:rPr>
        <w:t>-</w:t>
      </w:r>
      <w:r w:rsidR="00694B65" w:rsidRPr="00694B65">
        <w:rPr>
          <w:rFonts w:ascii="Times New Roman" w:hAnsi="Times New Roman" w:cs="Times New Roman"/>
        </w:rPr>
        <w:t>B</w:t>
      </w:r>
      <w:r w:rsidR="00A62F16">
        <w:rPr>
          <w:rFonts w:ascii="Times New Roman" w:hAnsi="Times New Roman" w:cs="Times New Roman"/>
        </w:rPr>
        <w:t>-</w:t>
      </w:r>
      <w:r w:rsidR="00694B65" w:rsidRPr="00694B65">
        <w:rPr>
          <w:rFonts w:ascii="Times New Roman" w:hAnsi="Times New Roman" w:cs="Times New Roman"/>
        </w:rPr>
        <w:t>D, and six chemicals were comparable across Labs A</w:t>
      </w:r>
      <w:r w:rsidR="00A62F16">
        <w:rPr>
          <w:rFonts w:ascii="Times New Roman" w:hAnsi="Times New Roman" w:cs="Times New Roman"/>
        </w:rPr>
        <w:t>-</w:t>
      </w:r>
      <w:r w:rsidR="00694B65" w:rsidRPr="00694B65">
        <w:rPr>
          <w:rFonts w:ascii="Times New Roman" w:hAnsi="Times New Roman" w:cs="Times New Roman"/>
        </w:rPr>
        <w:t>C</w:t>
      </w:r>
      <w:r w:rsidR="00A62F16">
        <w:rPr>
          <w:rFonts w:ascii="Times New Roman" w:hAnsi="Times New Roman" w:cs="Times New Roman"/>
        </w:rPr>
        <w:t>-</w:t>
      </w:r>
      <w:r w:rsidR="00694B65" w:rsidRPr="00694B65">
        <w:rPr>
          <w:rFonts w:ascii="Times New Roman" w:hAnsi="Times New Roman" w:cs="Times New Roman"/>
        </w:rPr>
        <w:t>D</w:t>
      </w:r>
      <w:r w:rsidR="00694B65">
        <w:rPr>
          <w:rFonts w:ascii="Times New Roman" w:hAnsi="Times New Roman" w:cs="Times New Roman"/>
        </w:rPr>
        <w:t xml:space="preserve">. </w:t>
      </w:r>
      <w:r w:rsidR="00694B65" w:rsidRPr="00694B65">
        <w:rPr>
          <w:rFonts w:ascii="Times New Roman" w:hAnsi="Times New Roman" w:cs="Times New Roman"/>
        </w:rPr>
        <w:t>Each red/black line can feature up to four dots, representing the DNT/DT activities evaluated in four different laboratories. An "X" on top of a dot indicates that the compound was inactive in that specific lab; when inactive, the highest tested concentration is reported as the BMC for plotting purpose. </w:t>
      </w:r>
    </w:p>
    <w:p w14:paraId="581C8C42" w14:textId="77777777" w:rsidR="004A5010" w:rsidRPr="00154190" w:rsidRDefault="004A5010" w:rsidP="004A5010">
      <w:pPr>
        <w:pStyle w:val="Heading1"/>
        <w:rPr>
          <w:rFonts w:ascii="Times New Roman" w:hAnsi="Times New Roman" w:cs="Times New Roman"/>
        </w:rPr>
      </w:pPr>
      <w:r w:rsidRPr="00154190">
        <w:rPr>
          <w:rFonts w:ascii="Times New Roman" w:hAnsi="Times New Roman" w:cs="Times New Roman"/>
        </w:rPr>
        <w:t>Supplemental Data</w:t>
      </w:r>
    </w:p>
    <w:p w14:paraId="46DC1458" w14:textId="6513B31D" w:rsidR="0017793E" w:rsidRDefault="6F124D08" w:rsidP="6F124D08">
      <w:pPr>
        <w:rPr>
          <w:rFonts w:ascii="Times New Roman" w:eastAsia="Times New Roman" w:hAnsi="Times New Roman" w:cs="Times New Roman"/>
        </w:rPr>
      </w:pPr>
      <w:r w:rsidRPr="6F124D08">
        <w:rPr>
          <w:rFonts w:ascii="Times New Roman" w:hAnsi="Times New Roman" w:cs="Times New Roman"/>
        </w:rPr>
        <w:t xml:space="preserve">The supplemental data provide plate-level, endpoint-level, and potency-level datasets supporting all analyses presented in the manuscript. Only data from plates that passed all quality-control (QC) steps are included.  The </w:t>
      </w:r>
      <w:proofErr w:type="spellStart"/>
      <w:r w:rsidRPr="6F124D08">
        <w:rPr>
          <w:rFonts w:ascii="Times New Roman" w:hAnsi="Times New Roman" w:cs="Times New Roman"/>
        </w:rPr>
        <w:t>rds</w:t>
      </w:r>
      <w:proofErr w:type="spellEnd"/>
      <w:r w:rsidRPr="6F124D08">
        <w:rPr>
          <w:rFonts w:ascii="Times New Roman" w:hAnsi="Times New Roman" w:cs="Times New Roman"/>
        </w:rPr>
        <w:t xml:space="preserve"> files can be opened directly in R (e.g., using </w:t>
      </w:r>
      <w:proofErr w:type="spellStart"/>
      <w:proofErr w:type="gramStart"/>
      <w:r w:rsidRPr="6F124D08">
        <w:rPr>
          <w:rFonts w:ascii="Times New Roman" w:hAnsi="Times New Roman" w:cs="Times New Roman"/>
        </w:rPr>
        <w:t>readRDS</w:t>
      </w:r>
      <w:proofErr w:type="spellEnd"/>
      <w:r w:rsidRPr="6F124D08">
        <w:rPr>
          <w:rFonts w:ascii="Times New Roman" w:hAnsi="Times New Roman" w:cs="Times New Roman"/>
        </w:rPr>
        <w:t>(</w:t>
      </w:r>
      <w:proofErr w:type="gramEnd"/>
      <w:r w:rsidRPr="6F124D08">
        <w:rPr>
          <w:rFonts w:ascii="Times New Roman" w:hAnsi="Times New Roman" w:cs="Times New Roman"/>
        </w:rPr>
        <w:t xml:space="preserve">)). The chemical code to chemical name mapping table is provided below. </w:t>
      </w:r>
      <w:r w:rsidRPr="6F124D08">
        <w:rPr>
          <w:rFonts w:ascii="Times New Roman" w:eastAsia="Times New Roman" w:hAnsi="Times New Roman" w:cs="Times New Roman"/>
        </w:rPr>
        <w:t>The data can be downloaded from the Chemical Effects in Biological Systems (CEBS) page (</w:t>
      </w:r>
      <w:hyperlink r:id="rId8" w:history="1">
        <w:r w:rsidRPr="6F124D08">
          <w:rPr>
            <w:rStyle w:val="Hyperlink"/>
            <w:rFonts w:ascii="Times New Roman" w:eastAsia="Times New Roman" w:hAnsi="Times New Roman" w:cs="Times New Roman"/>
          </w:rPr>
          <w:t>https://cebs.niehs.nih.gov/cebs/</w:t>
        </w:r>
      </w:hyperlink>
      <w:r w:rsidRPr="6F124D08">
        <w:rPr>
          <w:rFonts w:ascii="Times New Roman" w:eastAsia="Times New Roman" w:hAnsi="Times New Roman" w:cs="Times New Roman"/>
        </w:rPr>
        <w:t>).</w:t>
      </w:r>
    </w:p>
    <w:p w14:paraId="78CC8DC9" w14:textId="01D56759" w:rsidR="6F124D08" w:rsidRDefault="6F124D08" w:rsidP="6F124D08">
      <w:pPr>
        <w:rPr>
          <w:rFonts w:ascii="Times New Roman" w:eastAsia="Times New Roman" w:hAnsi="Times New Roman" w:cs="Times New Roman"/>
        </w:rPr>
      </w:pPr>
    </w:p>
    <w:p w14:paraId="2078A0B1" w14:textId="3FCB5ADE" w:rsidR="6F124D08" w:rsidRPr="00CF23DE" w:rsidRDefault="6F124D08" w:rsidP="00CF23DE">
      <w:pPr>
        <w:pStyle w:val="ListParagraph"/>
        <w:numPr>
          <w:ilvl w:val="0"/>
          <w:numId w:val="1"/>
        </w:numPr>
        <w:rPr>
          <w:rFonts w:ascii="Times New Roman" w:eastAsia="Times New Roman" w:hAnsi="Times New Roman" w:cs="Times New Roman"/>
          <w:b/>
          <w:bCs/>
        </w:rPr>
      </w:pPr>
      <w:r w:rsidRPr="00CF23DE">
        <w:rPr>
          <w:rFonts w:ascii="Times New Roman" w:eastAsia="Times New Roman" w:hAnsi="Times New Roman" w:cs="Times New Roman"/>
          <w:b/>
          <w:bCs/>
        </w:rPr>
        <w:t>Chemical code to Chemical Name Mapping</w:t>
      </w:r>
    </w:p>
    <w:tbl>
      <w:tblPr>
        <w:tblW w:w="5987" w:type="dxa"/>
        <w:jc w:val="center"/>
        <w:tblLook w:val="04A0" w:firstRow="1" w:lastRow="0" w:firstColumn="1" w:lastColumn="0" w:noHBand="0" w:noVBand="1"/>
      </w:tblPr>
      <w:tblGrid>
        <w:gridCol w:w="1727"/>
        <w:gridCol w:w="4260"/>
      </w:tblGrid>
      <w:tr w:rsidR="002A3AF8" w:rsidRPr="00165626" w14:paraId="598BD0DB" w14:textId="77777777" w:rsidTr="00CF23DE">
        <w:trPr>
          <w:trHeight w:val="300"/>
          <w:jc w:val="center"/>
        </w:trPr>
        <w:tc>
          <w:tcPr>
            <w:tcW w:w="1727" w:type="dxa"/>
            <w:tcBorders>
              <w:top w:val="single" w:sz="8" w:space="0" w:color="999999"/>
              <w:left w:val="single" w:sz="8" w:space="0" w:color="999999"/>
              <w:bottom w:val="single" w:sz="12" w:space="0" w:color="666666"/>
              <w:right w:val="single" w:sz="8" w:space="0" w:color="999999"/>
            </w:tcBorders>
            <w:shd w:val="clear" w:color="auto" w:fill="auto"/>
            <w:noWrap/>
            <w:vAlign w:val="center"/>
            <w:hideMark/>
          </w:tcPr>
          <w:p w14:paraId="3C3148CF" w14:textId="77777777" w:rsidR="002A3AF8" w:rsidRPr="00CF23DE" w:rsidRDefault="002A3AF8" w:rsidP="002A3AF8">
            <w:pPr>
              <w:spacing w:after="0" w:line="240" w:lineRule="auto"/>
              <w:jc w:val="center"/>
              <w:rPr>
                <w:rFonts w:ascii="Times New Roman" w:eastAsia="Times New Roman" w:hAnsi="Times New Roman" w:cs="Times New Roman"/>
                <w:b/>
                <w:bCs/>
                <w:color w:val="000000"/>
                <w:kern w:val="0"/>
                <w:sz w:val="20"/>
                <w:szCs w:val="20"/>
                <w14:ligatures w14:val="none"/>
              </w:rPr>
            </w:pPr>
            <w:r w:rsidRPr="00CF23DE">
              <w:rPr>
                <w:rFonts w:ascii="Times New Roman" w:eastAsia="Times New Roman" w:hAnsi="Times New Roman" w:cs="Times New Roman"/>
                <w:b/>
                <w:bCs/>
                <w:color w:val="000000"/>
                <w:kern w:val="0"/>
                <w:sz w:val="20"/>
                <w:szCs w:val="20"/>
                <w14:ligatures w14:val="none"/>
              </w:rPr>
              <w:lastRenderedPageBreak/>
              <w:t>Chemical Code</w:t>
            </w:r>
          </w:p>
        </w:tc>
        <w:tc>
          <w:tcPr>
            <w:tcW w:w="4260" w:type="dxa"/>
            <w:tcBorders>
              <w:top w:val="single" w:sz="8" w:space="0" w:color="999999"/>
              <w:left w:val="nil"/>
              <w:bottom w:val="single" w:sz="12" w:space="0" w:color="666666"/>
              <w:right w:val="single" w:sz="8" w:space="0" w:color="999999"/>
            </w:tcBorders>
            <w:shd w:val="clear" w:color="auto" w:fill="auto"/>
            <w:noWrap/>
            <w:vAlign w:val="center"/>
            <w:hideMark/>
          </w:tcPr>
          <w:p w14:paraId="49C30461" w14:textId="77777777" w:rsidR="002A3AF8" w:rsidRPr="00CF23DE" w:rsidRDefault="002A3AF8" w:rsidP="002A3AF8">
            <w:pPr>
              <w:spacing w:after="0" w:line="240" w:lineRule="auto"/>
              <w:jc w:val="center"/>
              <w:rPr>
                <w:rFonts w:ascii="Times New Roman" w:eastAsia="Times New Roman" w:hAnsi="Times New Roman" w:cs="Times New Roman"/>
                <w:b/>
                <w:bCs/>
                <w:color w:val="000000"/>
                <w:kern w:val="0"/>
                <w:sz w:val="20"/>
                <w:szCs w:val="20"/>
                <w14:ligatures w14:val="none"/>
              </w:rPr>
            </w:pPr>
            <w:r w:rsidRPr="00CF23DE">
              <w:rPr>
                <w:rFonts w:ascii="Times New Roman" w:eastAsia="Times New Roman" w:hAnsi="Times New Roman" w:cs="Times New Roman"/>
                <w:b/>
                <w:bCs/>
                <w:color w:val="000000"/>
                <w:kern w:val="0"/>
                <w:sz w:val="20"/>
                <w:szCs w:val="20"/>
                <w14:ligatures w14:val="none"/>
              </w:rPr>
              <w:t>Chemical Name</w:t>
            </w:r>
          </w:p>
        </w:tc>
      </w:tr>
      <w:tr w:rsidR="002A3AF8" w:rsidRPr="00165626" w14:paraId="79AE0E28" w14:textId="77777777" w:rsidTr="00CF23DE">
        <w:trPr>
          <w:trHeight w:val="31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63D856AB"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1000</w:t>
            </w:r>
          </w:p>
        </w:tc>
        <w:tc>
          <w:tcPr>
            <w:tcW w:w="4260" w:type="dxa"/>
            <w:tcBorders>
              <w:top w:val="nil"/>
              <w:left w:val="nil"/>
              <w:bottom w:val="single" w:sz="8" w:space="0" w:color="999999"/>
              <w:right w:val="single" w:sz="8" w:space="0" w:color="999999"/>
            </w:tcBorders>
            <w:shd w:val="clear" w:color="auto" w:fill="auto"/>
            <w:noWrap/>
            <w:vAlign w:val="center"/>
            <w:hideMark/>
          </w:tcPr>
          <w:p w14:paraId="7D81DAA6"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Tris(1,3-dichloro-2-propyl) phosphate (TDCIPP)</w:t>
            </w:r>
          </w:p>
        </w:tc>
      </w:tr>
      <w:tr w:rsidR="002A3AF8" w:rsidRPr="00165626" w14:paraId="3D2E4624"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25621E7A"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1005</w:t>
            </w:r>
          </w:p>
        </w:tc>
        <w:tc>
          <w:tcPr>
            <w:tcW w:w="4260" w:type="dxa"/>
            <w:tcBorders>
              <w:top w:val="nil"/>
              <w:left w:val="nil"/>
              <w:bottom w:val="single" w:sz="8" w:space="0" w:color="999999"/>
              <w:right w:val="single" w:sz="8" w:space="0" w:color="999999"/>
            </w:tcBorders>
            <w:shd w:val="clear" w:color="auto" w:fill="auto"/>
            <w:noWrap/>
            <w:vAlign w:val="center"/>
            <w:hideMark/>
          </w:tcPr>
          <w:p w14:paraId="4037F13B"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Acetamiprid</w:t>
            </w:r>
          </w:p>
        </w:tc>
      </w:tr>
      <w:tr w:rsidR="002A3AF8" w:rsidRPr="00165626" w14:paraId="1EBA0843"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3345A786"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1029</w:t>
            </w:r>
          </w:p>
        </w:tc>
        <w:tc>
          <w:tcPr>
            <w:tcW w:w="4260" w:type="dxa"/>
            <w:tcBorders>
              <w:top w:val="nil"/>
              <w:left w:val="nil"/>
              <w:bottom w:val="single" w:sz="8" w:space="0" w:color="999999"/>
              <w:right w:val="single" w:sz="8" w:space="0" w:color="999999"/>
            </w:tcBorders>
            <w:shd w:val="clear" w:color="auto" w:fill="auto"/>
            <w:noWrap/>
            <w:vAlign w:val="center"/>
            <w:hideMark/>
          </w:tcPr>
          <w:p w14:paraId="12388E5C"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Cypermethrin</w:t>
            </w:r>
          </w:p>
        </w:tc>
      </w:tr>
      <w:tr w:rsidR="002A3AF8" w:rsidRPr="00165626" w14:paraId="55D0CD4C"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61DBA597"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1050</w:t>
            </w:r>
          </w:p>
        </w:tc>
        <w:tc>
          <w:tcPr>
            <w:tcW w:w="4260" w:type="dxa"/>
            <w:tcBorders>
              <w:top w:val="nil"/>
              <w:left w:val="nil"/>
              <w:bottom w:val="single" w:sz="8" w:space="0" w:color="999999"/>
              <w:right w:val="single" w:sz="8" w:space="0" w:color="999999"/>
            </w:tcBorders>
            <w:shd w:val="clear" w:color="auto" w:fill="auto"/>
            <w:noWrap/>
            <w:vAlign w:val="center"/>
            <w:hideMark/>
          </w:tcPr>
          <w:p w14:paraId="426C74FC"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 xml:space="preserve">Triphenyl phosphates </w:t>
            </w:r>
            <w:proofErr w:type="spellStart"/>
            <w:r w:rsidRPr="00CF23DE">
              <w:rPr>
                <w:rFonts w:ascii="Times New Roman" w:eastAsia="Times New Roman" w:hAnsi="Times New Roman" w:cs="Times New Roman"/>
                <w:color w:val="000000"/>
                <w:kern w:val="0"/>
                <w:sz w:val="20"/>
                <w:szCs w:val="20"/>
                <w14:ligatures w14:val="none"/>
              </w:rPr>
              <w:t>isopropylated</w:t>
            </w:r>
            <w:proofErr w:type="spellEnd"/>
            <w:r w:rsidRPr="00CF23DE">
              <w:rPr>
                <w:rFonts w:ascii="Times New Roman" w:eastAsia="Times New Roman" w:hAnsi="Times New Roman" w:cs="Times New Roman"/>
                <w:color w:val="000000"/>
                <w:kern w:val="0"/>
                <w:sz w:val="20"/>
                <w:szCs w:val="20"/>
                <w14:ligatures w14:val="none"/>
              </w:rPr>
              <w:t xml:space="preserve"> (IPP)</w:t>
            </w:r>
          </w:p>
        </w:tc>
      </w:tr>
      <w:tr w:rsidR="002A3AF8" w:rsidRPr="00165626" w14:paraId="2F552AC6"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4660D013"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1056</w:t>
            </w:r>
          </w:p>
        </w:tc>
        <w:tc>
          <w:tcPr>
            <w:tcW w:w="4260" w:type="dxa"/>
            <w:tcBorders>
              <w:top w:val="nil"/>
              <w:left w:val="nil"/>
              <w:bottom w:val="single" w:sz="8" w:space="0" w:color="999999"/>
              <w:right w:val="single" w:sz="8" w:space="0" w:color="999999"/>
            </w:tcBorders>
            <w:shd w:val="clear" w:color="auto" w:fill="auto"/>
            <w:noWrap/>
            <w:vAlign w:val="center"/>
            <w:hideMark/>
          </w:tcPr>
          <w:p w14:paraId="0B1B3F39"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Tris(2-</w:t>
            </w:r>
            <w:proofErr w:type="gramStart"/>
            <w:r w:rsidRPr="00CF23DE">
              <w:rPr>
                <w:rFonts w:ascii="Times New Roman" w:eastAsia="Times New Roman" w:hAnsi="Times New Roman" w:cs="Times New Roman"/>
                <w:color w:val="000000"/>
                <w:kern w:val="0"/>
                <w:sz w:val="20"/>
                <w:szCs w:val="20"/>
                <w14:ligatures w14:val="none"/>
              </w:rPr>
              <w:t>chloroisopropyl)phosphate</w:t>
            </w:r>
            <w:proofErr w:type="gramEnd"/>
          </w:p>
        </w:tc>
      </w:tr>
      <w:tr w:rsidR="002A3AF8" w:rsidRPr="00165626" w14:paraId="78A8B38B"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7156C931"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1085</w:t>
            </w:r>
          </w:p>
        </w:tc>
        <w:tc>
          <w:tcPr>
            <w:tcW w:w="4260" w:type="dxa"/>
            <w:tcBorders>
              <w:top w:val="nil"/>
              <w:left w:val="nil"/>
              <w:bottom w:val="single" w:sz="8" w:space="0" w:color="999999"/>
              <w:right w:val="single" w:sz="8" w:space="0" w:color="999999"/>
            </w:tcBorders>
            <w:shd w:val="clear" w:color="auto" w:fill="auto"/>
            <w:noWrap/>
            <w:vAlign w:val="center"/>
            <w:hideMark/>
          </w:tcPr>
          <w:p w14:paraId="29713FC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Diazinon</w:t>
            </w:r>
          </w:p>
        </w:tc>
      </w:tr>
      <w:tr w:rsidR="002A3AF8" w:rsidRPr="00165626" w14:paraId="3530D9E2"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7AFCDE2B"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1087</w:t>
            </w:r>
          </w:p>
        </w:tc>
        <w:tc>
          <w:tcPr>
            <w:tcW w:w="4260" w:type="dxa"/>
            <w:tcBorders>
              <w:top w:val="nil"/>
              <w:left w:val="nil"/>
              <w:bottom w:val="single" w:sz="8" w:space="0" w:color="999999"/>
              <w:right w:val="single" w:sz="8" w:space="0" w:color="999999"/>
            </w:tcBorders>
            <w:shd w:val="clear" w:color="auto" w:fill="auto"/>
            <w:noWrap/>
            <w:vAlign w:val="center"/>
            <w:hideMark/>
          </w:tcPr>
          <w:p w14:paraId="51E40F6E"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Trichlorfon</w:t>
            </w:r>
          </w:p>
        </w:tc>
      </w:tr>
      <w:tr w:rsidR="002A3AF8" w:rsidRPr="00165626" w14:paraId="09EFBDD7"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2E2394A9"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1132</w:t>
            </w:r>
          </w:p>
        </w:tc>
        <w:tc>
          <w:tcPr>
            <w:tcW w:w="4260" w:type="dxa"/>
            <w:tcBorders>
              <w:top w:val="nil"/>
              <w:left w:val="nil"/>
              <w:bottom w:val="single" w:sz="8" w:space="0" w:color="999999"/>
              <w:right w:val="single" w:sz="8" w:space="0" w:color="999999"/>
            </w:tcBorders>
            <w:shd w:val="clear" w:color="auto" w:fill="auto"/>
            <w:noWrap/>
            <w:vAlign w:val="center"/>
            <w:hideMark/>
          </w:tcPr>
          <w:p w14:paraId="260ADDE7"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tert-Butylphenyl diphenyl phosphate (BPDP)</w:t>
            </w:r>
          </w:p>
        </w:tc>
      </w:tr>
      <w:tr w:rsidR="002A3AF8" w:rsidRPr="00165626" w14:paraId="4DB9577B"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4D528931"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1143</w:t>
            </w:r>
          </w:p>
        </w:tc>
        <w:tc>
          <w:tcPr>
            <w:tcW w:w="4260" w:type="dxa"/>
            <w:tcBorders>
              <w:top w:val="nil"/>
              <w:left w:val="nil"/>
              <w:bottom w:val="single" w:sz="8" w:space="0" w:color="999999"/>
              <w:right w:val="single" w:sz="8" w:space="0" w:color="999999"/>
            </w:tcBorders>
            <w:shd w:val="clear" w:color="auto" w:fill="auto"/>
            <w:noWrap/>
            <w:vAlign w:val="center"/>
            <w:hideMark/>
          </w:tcPr>
          <w:p w14:paraId="7265FD75"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Thiacloprid</w:t>
            </w:r>
          </w:p>
        </w:tc>
      </w:tr>
      <w:tr w:rsidR="002A3AF8" w:rsidRPr="00165626" w14:paraId="5BC19F0E"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5A5DEBC3"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1175</w:t>
            </w:r>
          </w:p>
        </w:tc>
        <w:tc>
          <w:tcPr>
            <w:tcW w:w="4260" w:type="dxa"/>
            <w:tcBorders>
              <w:top w:val="nil"/>
              <w:left w:val="nil"/>
              <w:bottom w:val="single" w:sz="8" w:space="0" w:color="999999"/>
              <w:right w:val="single" w:sz="8" w:space="0" w:color="999999"/>
            </w:tcBorders>
            <w:shd w:val="clear" w:color="auto" w:fill="auto"/>
            <w:noWrap/>
            <w:vAlign w:val="center"/>
            <w:hideMark/>
          </w:tcPr>
          <w:p w14:paraId="602A8F20"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3,3',5,5'-Tetrabromobisphenol A (TBBPA)</w:t>
            </w:r>
          </w:p>
        </w:tc>
      </w:tr>
      <w:tr w:rsidR="002A3AF8" w:rsidRPr="00165626" w14:paraId="4062BFC5"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2DFFD386"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1191</w:t>
            </w:r>
          </w:p>
        </w:tc>
        <w:tc>
          <w:tcPr>
            <w:tcW w:w="4260" w:type="dxa"/>
            <w:tcBorders>
              <w:top w:val="nil"/>
              <w:left w:val="nil"/>
              <w:bottom w:val="single" w:sz="8" w:space="0" w:color="999999"/>
              <w:right w:val="single" w:sz="8" w:space="0" w:color="999999"/>
            </w:tcBorders>
            <w:shd w:val="clear" w:color="auto" w:fill="auto"/>
            <w:noWrap/>
            <w:vAlign w:val="center"/>
            <w:hideMark/>
          </w:tcPr>
          <w:p w14:paraId="4A6283AF"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Tri-o-cresyl phosphate</w:t>
            </w:r>
          </w:p>
        </w:tc>
      </w:tr>
      <w:tr w:rsidR="002A3AF8" w:rsidRPr="00165626" w14:paraId="4690A975"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2763B153"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1213</w:t>
            </w:r>
          </w:p>
        </w:tc>
        <w:tc>
          <w:tcPr>
            <w:tcW w:w="4260" w:type="dxa"/>
            <w:tcBorders>
              <w:top w:val="nil"/>
              <w:left w:val="nil"/>
              <w:bottom w:val="single" w:sz="8" w:space="0" w:color="999999"/>
              <w:right w:val="single" w:sz="8" w:space="0" w:color="999999"/>
            </w:tcBorders>
            <w:shd w:val="clear" w:color="auto" w:fill="auto"/>
            <w:noWrap/>
            <w:vAlign w:val="center"/>
            <w:hideMark/>
          </w:tcPr>
          <w:p w14:paraId="36967EF1"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CF23DE">
              <w:rPr>
                <w:rFonts w:ascii="Times New Roman" w:eastAsia="Times New Roman" w:hAnsi="Times New Roman" w:cs="Times New Roman"/>
                <w:color w:val="000000"/>
                <w:kern w:val="0"/>
                <w:sz w:val="20"/>
                <w:szCs w:val="20"/>
                <w14:ligatures w14:val="none"/>
              </w:rPr>
              <w:t>Chloramben</w:t>
            </w:r>
            <w:proofErr w:type="spellEnd"/>
          </w:p>
        </w:tc>
      </w:tr>
      <w:tr w:rsidR="002A3AF8" w:rsidRPr="00165626" w14:paraId="2717B89F"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36C1D967"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1233</w:t>
            </w:r>
          </w:p>
        </w:tc>
        <w:tc>
          <w:tcPr>
            <w:tcW w:w="4260" w:type="dxa"/>
            <w:tcBorders>
              <w:top w:val="nil"/>
              <w:left w:val="nil"/>
              <w:bottom w:val="single" w:sz="8" w:space="0" w:color="999999"/>
              <w:right w:val="single" w:sz="8" w:space="0" w:color="999999"/>
            </w:tcBorders>
            <w:shd w:val="clear" w:color="auto" w:fill="auto"/>
            <w:noWrap/>
            <w:vAlign w:val="center"/>
            <w:hideMark/>
          </w:tcPr>
          <w:p w14:paraId="45BE0D79"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Dimethoate</w:t>
            </w:r>
          </w:p>
        </w:tc>
      </w:tr>
      <w:tr w:rsidR="002A3AF8" w:rsidRPr="00165626" w14:paraId="5B3B1DED"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5412612F"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1239</w:t>
            </w:r>
          </w:p>
        </w:tc>
        <w:tc>
          <w:tcPr>
            <w:tcW w:w="4260" w:type="dxa"/>
            <w:tcBorders>
              <w:top w:val="nil"/>
              <w:left w:val="nil"/>
              <w:bottom w:val="single" w:sz="8" w:space="0" w:color="999999"/>
              <w:right w:val="single" w:sz="8" w:space="0" w:color="999999"/>
            </w:tcBorders>
            <w:shd w:val="clear" w:color="auto" w:fill="auto"/>
            <w:noWrap/>
            <w:vAlign w:val="center"/>
            <w:hideMark/>
          </w:tcPr>
          <w:p w14:paraId="6027357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Heptachlor</w:t>
            </w:r>
          </w:p>
        </w:tc>
      </w:tr>
      <w:tr w:rsidR="002A3AF8" w:rsidRPr="00165626" w14:paraId="4327B80B"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05F7E511"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1246</w:t>
            </w:r>
          </w:p>
        </w:tc>
        <w:tc>
          <w:tcPr>
            <w:tcW w:w="4260" w:type="dxa"/>
            <w:tcBorders>
              <w:top w:val="nil"/>
              <w:left w:val="nil"/>
              <w:bottom w:val="single" w:sz="8" w:space="0" w:color="999999"/>
              <w:right w:val="single" w:sz="8" w:space="0" w:color="999999"/>
            </w:tcBorders>
            <w:shd w:val="clear" w:color="auto" w:fill="auto"/>
            <w:noWrap/>
            <w:vAlign w:val="center"/>
            <w:hideMark/>
          </w:tcPr>
          <w:p w14:paraId="121B7A1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2-Ethylhexyl diphenyl phosphate</w:t>
            </w:r>
          </w:p>
        </w:tc>
      </w:tr>
      <w:tr w:rsidR="002A3AF8" w:rsidRPr="00165626" w14:paraId="46987888"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65CC6937"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1303</w:t>
            </w:r>
          </w:p>
        </w:tc>
        <w:tc>
          <w:tcPr>
            <w:tcW w:w="4260" w:type="dxa"/>
            <w:tcBorders>
              <w:top w:val="nil"/>
              <w:left w:val="nil"/>
              <w:bottom w:val="single" w:sz="8" w:space="0" w:color="999999"/>
              <w:right w:val="single" w:sz="8" w:space="0" w:color="999999"/>
            </w:tcBorders>
            <w:shd w:val="clear" w:color="auto" w:fill="auto"/>
            <w:noWrap/>
            <w:vAlign w:val="center"/>
            <w:hideMark/>
          </w:tcPr>
          <w:p w14:paraId="6DED606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Tris(methylphenyl) phosphate (TMPP)</w:t>
            </w:r>
          </w:p>
        </w:tc>
      </w:tr>
      <w:tr w:rsidR="002A3AF8" w:rsidRPr="00165626" w14:paraId="40717A4F"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6254D1E5"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1336</w:t>
            </w:r>
          </w:p>
        </w:tc>
        <w:tc>
          <w:tcPr>
            <w:tcW w:w="4260" w:type="dxa"/>
            <w:tcBorders>
              <w:top w:val="nil"/>
              <w:left w:val="nil"/>
              <w:bottom w:val="single" w:sz="8" w:space="0" w:color="999999"/>
              <w:right w:val="single" w:sz="8" w:space="0" w:color="999999"/>
            </w:tcBorders>
            <w:shd w:val="clear" w:color="auto" w:fill="auto"/>
            <w:noWrap/>
            <w:vAlign w:val="center"/>
            <w:hideMark/>
          </w:tcPr>
          <w:p w14:paraId="6B052BE2"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Aldicarb</w:t>
            </w:r>
          </w:p>
        </w:tc>
      </w:tr>
      <w:tr w:rsidR="002A3AF8" w:rsidRPr="00165626" w14:paraId="1BED7FE8"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5C6DF041"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1359</w:t>
            </w:r>
          </w:p>
        </w:tc>
        <w:tc>
          <w:tcPr>
            <w:tcW w:w="4260" w:type="dxa"/>
            <w:tcBorders>
              <w:top w:val="nil"/>
              <w:left w:val="nil"/>
              <w:bottom w:val="single" w:sz="8" w:space="0" w:color="999999"/>
              <w:right w:val="single" w:sz="8" w:space="0" w:color="999999"/>
            </w:tcBorders>
            <w:shd w:val="clear" w:color="auto" w:fill="auto"/>
            <w:noWrap/>
            <w:vAlign w:val="center"/>
            <w:hideMark/>
          </w:tcPr>
          <w:p w14:paraId="00A6D95D"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Permethrin</w:t>
            </w:r>
          </w:p>
        </w:tc>
      </w:tr>
      <w:tr w:rsidR="002A3AF8" w:rsidRPr="00165626" w14:paraId="7D1F1DBD"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0150A6D3"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1414</w:t>
            </w:r>
          </w:p>
        </w:tc>
        <w:tc>
          <w:tcPr>
            <w:tcW w:w="4260" w:type="dxa"/>
            <w:tcBorders>
              <w:top w:val="nil"/>
              <w:left w:val="nil"/>
              <w:bottom w:val="single" w:sz="8" w:space="0" w:color="999999"/>
              <w:right w:val="single" w:sz="8" w:space="0" w:color="999999"/>
            </w:tcBorders>
            <w:shd w:val="clear" w:color="auto" w:fill="auto"/>
            <w:noWrap/>
            <w:vAlign w:val="center"/>
            <w:hideMark/>
          </w:tcPr>
          <w:p w14:paraId="0E1CACD5"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Allethrin</w:t>
            </w:r>
          </w:p>
        </w:tc>
      </w:tr>
      <w:tr w:rsidR="002A3AF8" w:rsidRPr="00165626" w14:paraId="597767E6"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2DC4CBC1"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1584</w:t>
            </w:r>
          </w:p>
        </w:tc>
        <w:tc>
          <w:tcPr>
            <w:tcW w:w="4260" w:type="dxa"/>
            <w:tcBorders>
              <w:top w:val="nil"/>
              <w:left w:val="nil"/>
              <w:bottom w:val="single" w:sz="8" w:space="0" w:color="999999"/>
              <w:right w:val="single" w:sz="8" w:space="0" w:color="999999"/>
            </w:tcBorders>
            <w:shd w:val="clear" w:color="auto" w:fill="auto"/>
            <w:noWrap/>
            <w:vAlign w:val="center"/>
            <w:hideMark/>
          </w:tcPr>
          <w:p w14:paraId="71C97AC2"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Tris(2-chloroethyl) phosphate (TCEP)</w:t>
            </w:r>
          </w:p>
        </w:tc>
      </w:tr>
      <w:tr w:rsidR="002A3AF8" w:rsidRPr="00165626" w14:paraId="69F26F7F"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54D9D37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1588</w:t>
            </w:r>
          </w:p>
        </w:tc>
        <w:tc>
          <w:tcPr>
            <w:tcW w:w="4260" w:type="dxa"/>
            <w:tcBorders>
              <w:top w:val="nil"/>
              <w:left w:val="nil"/>
              <w:bottom w:val="single" w:sz="8" w:space="0" w:color="999999"/>
              <w:right w:val="single" w:sz="8" w:space="0" w:color="999999"/>
            </w:tcBorders>
            <w:shd w:val="clear" w:color="auto" w:fill="auto"/>
            <w:noWrap/>
            <w:vAlign w:val="center"/>
            <w:hideMark/>
          </w:tcPr>
          <w:p w14:paraId="4392988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Dieldrin</w:t>
            </w:r>
          </w:p>
        </w:tc>
      </w:tr>
      <w:tr w:rsidR="002A3AF8" w:rsidRPr="00165626" w14:paraId="1DF809B2"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14AC5007"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1601</w:t>
            </w:r>
          </w:p>
        </w:tc>
        <w:tc>
          <w:tcPr>
            <w:tcW w:w="4260" w:type="dxa"/>
            <w:tcBorders>
              <w:top w:val="nil"/>
              <w:left w:val="nil"/>
              <w:bottom w:val="single" w:sz="8" w:space="0" w:color="999999"/>
              <w:right w:val="single" w:sz="8" w:space="0" w:color="999999"/>
            </w:tcBorders>
            <w:shd w:val="clear" w:color="auto" w:fill="auto"/>
            <w:noWrap/>
            <w:vAlign w:val="center"/>
            <w:hideMark/>
          </w:tcPr>
          <w:p w14:paraId="3186DDCF"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Deltamethrin</w:t>
            </w:r>
          </w:p>
        </w:tc>
      </w:tr>
      <w:tr w:rsidR="002A3AF8" w:rsidRPr="00165626" w14:paraId="0BD0F1AE"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4F98ADAE"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1636</w:t>
            </w:r>
          </w:p>
        </w:tc>
        <w:tc>
          <w:tcPr>
            <w:tcW w:w="4260" w:type="dxa"/>
            <w:tcBorders>
              <w:top w:val="nil"/>
              <w:left w:val="nil"/>
              <w:bottom w:val="single" w:sz="8" w:space="0" w:color="999999"/>
              <w:right w:val="single" w:sz="8" w:space="0" w:color="999999"/>
            </w:tcBorders>
            <w:shd w:val="clear" w:color="auto" w:fill="auto"/>
            <w:noWrap/>
            <w:vAlign w:val="center"/>
            <w:hideMark/>
          </w:tcPr>
          <w:p w14:paraId="2F4BD902"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Nicotine</w:t>
            </w:r>
          </w:p>
        </w:tc>
      </w:tr>
      <w:tr w:rsidR="002A3AF8" w:rsidRPr="00165626" w14:paraId="46F512AB"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69D44C6B"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1717</w:t>
            </w:r>
          </w:p>
        </w:tc>
        <w:tc>
          <w:tcPr>
            <w:tcW w:w="4260" w:type="dxa"/>
            <w:tcBorders>
              <w:top w:val="nil"/>
              <w:left w:val="nil"/>
              <w:bottom w:val="single" w:sz="8" w:space="0" w:color="999999"/>
              <w:right w:val="single" w:sz="8" w:space="0" w:color="999999"/>
            </w:tcBorders>
            <w:shd w:val="clear" w:color="auto" w:fill="auto"/>
            <w:noWrap/>
            <w:vAlign w:val="center"/>
            <w:hideMark/>
          </w:tcPr>
          <w:p w14:paraId="1084852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Parathion</w:t>
            </w:r>
          </w:p>
        </w:tc>
      </w:tr>
      <w:tr w:rsidR="002A3AF8" w:rsidRPr="00165626" w14:paraId="67435504"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42D9FA5F"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1758</w:t>
            </w:r>
          </w:p>
        </w:tc>
        <w:tc>
          <w:tcPr>
            <w:tcW w:w="4260" w:type="dxa"/>
            <w:tcBorders>
              <w:top w:val="nil"/>
              <w:left w:val="nil"/>
              <w:bottom w:val="single" w:sz="8" w:space="0" w:color="999999"/>
              <w:right w:val="single" w:sz="8" w:space="0" w:color="999999"/>
            </w:tcBorders>
            <w:shd w:val="clear" w:color="auto" w:fill="auto"/>
            <w:noWrap/>
            <w:vAlign w:val="center"/>
            <w:hideMark/>
          </w:tcPr>
          <w:p w14:paraId="3F66D69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Benomyl</w:t>
            </w:r>
          </w:p>
        </w:tc>
      </w:tr>
      <w:tr w:rsidR="002A3AF8" w:rsidRPr="00165626" w14:paraId="502CD3B9"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1D216574"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1978</w:t>
            </w:r>
          </w:p>
        </w:tc>
        <w:tc>
          <w:tcPr>
            <w:tcW w:w="4260" w:type="dxa"/>
            <w:tcBorders>
              <w:top w:val="nil"/>
              <w:left w:val="nil"/>
              <w:bottom w:val="single" w:sz="8" w:space="0" w:color="999999"/>
              <w:right w:val="single" w:sz="8" w:space="0" w:color="999999"/>
            </w:tcBorders>
            <w:shd w:val="clear" w:color="auto" w:fill="auto"/>
            <w:noWrap/>
            <w:vAlign w:val="center"/>
            <w:hideMark/>
          </w:tcPr>
          <w:p w14:paraId="253DD54E"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Kepone</w:t>
            </w:r>
          </w:p>
        </w:tc>
      </w:tr>
      <w:tr w:rsidR="002A3AF8" w:rsidRPr="00165626" w14:paraId="6891EC03"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62C3377F"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1996</w:t>
            </w:r>
          </w:p>
        </w:tc>
        <w:tc>
          <w:tcPr>
            <w:tcW w:w="4260" w:type="dxa"/>
            <w:tcBorders>
              <w:top w:val="nil"/>
              <w:left w:val="nil"/>
              <w:bottom w:val="single" w:sz="8" w:space="0" w:color="999999"/>
              <w:right w:val="single" w:sz="8" w:space="0" w:color="999999"/>
            </w:tcBorders>
            <w:shd w:val="clear" w:color="auto" w:fill="auto"/>
            <w:noWrap/>
            <w:vAlign w:val="center"/>
            <w:hideMark/>
          </w:tcPr>
          <w:p w14:paraId="7634F46D"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Methyl parathion</w:t>
            </w:r>
          </w:p>
        </w:tc>
      </w:tr>
      <w:tr w:rsidR="002A3AF8" w:rsidRPr="00165626" w14:paraId="7B93092F"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41181704"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2411</w:t>
            </w:r>
          </w:p>
        </w:tc>
        <w:tc>
          <w:tcPr>
            <w:tcW w:w="4260" w:type="dxa"/>
            <w:tcBorders>
              <w:top w:val="nil"/>
              <w:left w:val="nil"/>
              <w:bottom w:val="single" w:sz="8" w:space="0" w:color="999999"/>
              <w:right w:val="single" w:sz="8" w:space="0" w:color="999999"/>
            </w:tcBorders>
            <w:shd w:val="clear" w:color="auto" w:fill="auto"/>
            <w:noWrap/>
            <w:vAlign w:val="center"/>
            <w:hideMark/>
          </w:tcPr>
          <w:p w14:paraId="5437CBD2"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Glycerol</w:t>
            </w:r>
          </w:p>
        </w:tc>
      </w:tr>
      <w:tr w:rsidR="002A3AF8" w:rsidRPr="00165626" w14:paraId="720823C0"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52D43E5E"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2459</w:t>
            </w:r>
          </w:p>
        </w:tc>
        <w:tc>
          <w:tcPr>
            <w:tcW w:w="4260" w:type="dxa"/>
            <w:tcBorders>
              <w:top w:val="nil"/>
              <w:left w:val="nil"/>
              <w:bottom w:val="single" w:sz="8" w:space="0" w:color="999999"/>
              <w:right w:val="single" w:sz="8" w:space="0" w:color="999999"/>
            </w:tcBorders>
            <w:shd w:val="clear" w:color="auto" w:fill="auto"/>
            <w:noWrap/>
            <w:vAlign w:val="center"/>
            <w:hideMark/>
          </w:tcPr>
          <w:p w14:paraId="33698460"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Saccharin</w:t>
            </w:r>
          </w:p>
        </w:tc>
      </w:tr>
      <w:tr w:rsidR="002A3AF8" w:rsidRPr="00165626" w14:paraId="76AAD3F7"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3D506487"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2471</w:t>
            </w:r>
          </w:p>
        </w:tc>
        <w:tc>
          <w:tcPr>
            <w:tcW w:w="4260" w:type="dxa"/>
            <w:tcBorders>
              <w:top w:val="nil"/>
              <w:left w:val="nil"/>
              <w:bottom w:val="single" w:sz="8" w:space="0" w:color="999999"/>
              <w:right w:val="single" w:sz="8" w:space="0" w:color="999999"/>
            </w:tcBorders>
            <w:shd w:val="clear" w:color="auto" w:fill="auto"/>
            <w:noWrap/>
            <w:vAlign w:val="center"/>
            <w:hideMark/>
          </w:tcPr>
          <w:p w14:paraId="502D588C"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Diethylene glycol</w:t>
            </w:r>
          </w:p>
        </w:tc>
      </w:tr>
      <w:tr w:rsidR="002A3AF8" w:rsidRPr="00165626" w14:paraId="72E556A2"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12929428"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2546</w:t>
            </w:r>
          </w:p>
        </w:tc>
        <w:tc>
          <w:tcPr>
            <w:tcW w:w="4260" w:type="dxa"/>
            <w:tcBorders>
              <w:top w:val="nil"/>
              <w:left w:val="nil"/>
              <w:bottom w:val="single" w:sz="8" w:space="0" w:color="999999"/>
              <w:right w:val="single" w:sz="8" w:space="0" w:color="999999"/>
            </w:tcBorders>
            <w:shd w:val="clear" w:color="auto" w:fill="auto"/>
            <w:noWrap/>
            <w:vAlign w:val="center"/>
            <w:hideMark/>
          </w:tcPr>
          <w:p w14:paraId="1C4A8BE3"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Ibuprofen</w:t>
            </w:r>
          </w:p>
        </w:tc>
      </w:tr>
      <w:tr w:rsidR="002A3AF8" w:rsidRPr="00165626" w14:paraId="2F51FBF3"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63397684"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2782</w:t>
            </w:r>
          </w:p>
        </w:tc>
        <w:tc>
          <w:tcPr>
            <w:tcW w:w="4260" w:type="dxa"/>
            <w:tcBorders>
              <w:top w:val="nil"/>
              <w:left w:val="nil"/>
              <w:bottom w:val="single" w:sz="8" w:space="0" w:color="999999"/>
              <w:right w:val="single" w:sz="8" w:space="0" w:color="999999"/>
            </w:tcBorders>
            <w:shd w:val="clear" w:color="auto" w:fill="auto"/>
            <w:noWrap/>
            <w:vAlign w:val="center"/>
            <w:hideMark/>
          </w:tcPr>
          <w:p w14:paraId="2E8494EC"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Sodium benzoate</w:t>
            </w:r>
          </w:p>
        </w:tc>
      </w:tr>
      <w:tr w:rsidR="002A3AF8" w:rsidRPr="00165626" w14:paraId="1DF88EA3" w14:textId="77777777" w:rsidTr="00CF23DE">
        <w:trPr>
          <w:trHeight w:val="300"/>
          <w:jc w:val="center"/>
        </w:trPr>
        <w:tc>
          <w:tcPr>
            <w:tcW w:w="1727" w:type="dxa"/>
            <w:tcBorders>
              <w:top w:val="nil"/>
              <w:left w:val="single" w:sz="8" w:space="0" w:color="999999"/>
              <w:bottom w:val="single" w:sz="8" w:space="0" w:color="999999"/>
              <w:right w:val="single" w:sz="8" w:space="0" w:color="999999"/>
            </w:tcBorders>
            <w:shd w:val="clear" w:color="auto" w:fill="auto"/>
            <w:noWrap/>
            <w:vAlign w:val="center"/>
            <w:hideMark/>
          </w:tcPr>
          <w:p w14:paraId="773B676D"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PC</w:t>
            </w:r>
          </w:p>
        </w:tc>
        <w:tc>
          <w:tcPr>
            <w:tcW w:w="4260" w:type="dxa"/>
            <w:tcBorders>
              <w:top w:val="nil"/>
              <w:left w:val="nil"/>
              <w:bottom w:val="single" w:sz="8" w:space="0" w:color="999999"/>
              <w:right w:val="single" w:sz="8" w:space="0" w:color="999999"/>
            </w:tcBorders>
            <w:shd w:val="clear" w:color="auto" w:fill="auto"/>
            <w:noWrap/>
            <w:vAlign w:val="center"/>
            <w:hideMark/>
          </w:tcPr>
          <w:p w14:paraId="3CFBABBF" w14:textId="77777777" w:rsidR="002A3AF8" w:rsidRPr="00CF23DE" w:rsidRDefault="002A3AF8" w:rsidP="002A3AF8">
            <w:pPr>
              <w:spacing w:after="0" w:line="240" w:lineRule="auto"/>
              <w:jc w:val="center"/>
              <w:rPr>
                <w:rFonts w:ascii="Times New Roman" w:eastAsia="Times New Roman" w:hAnsi="Times New Roman" w:cs="Times New Roman"/>
                <w:color w:val="000000"/>
                <w:kern w:val="0"/>
                <w:sz w:val="20"/>
                <w:szCs w:val="20"/>
                <w14:ligatures w14:val="none"/>
              </w:rPr>
            </w:pPr>
            <w:r w:rsidRPr="00CF23DE">
              <w:rPr>
                <w:rFonts w:ascii="Times New Roman" w:eastAsia="Times New Roman" w:hAnsi="Times New Roman" w:cs="Times New Roman"/>
                <w:color w:val="000000"/>
                <w:kern w:val="0"/>
                <w:sz w:val="20"/>
                <w:szCs w:val="20"/>
                <w14:ligatures w14:val="none"/>
              </w:rPr>
              <w:t>Chlorpyrifos</w:t>
            </w:r>
          </w:p>
        </w:tc>
      </w:tr>
    </w:tbl>
    <w:p w14:paraId="6F06EC47" w14:textId="77777777" w:rsidR="002A3AF8" w:rsidRPr="0017793E" w:rsidRDefault="002A3AF8" w:rsidP="0017793E">
      <w:pPr>
        <w:rPr>
          <w:rFonts w:ascii="Times New Roman" w:hAnsi="Times New Roman" w:cs="Times New Roman"/>
        </w:rPr>
      </w:pPr>
    </w:p>
    <w:p w14:paraId="5A5E91AE" w14:textId="77777777" w:rsidR="0017793E" w:rsidRPr="0017793E" w:rsidRDefault="0017793E" w:rsidP="0017793E">
      <w:pPr>
        <w:rPr>
          <w:rFonts w:ascii="Times New Roman" w:hAnsi="Times New Roman" w:cs="Times New Roman"/>
          <w:b/>
          <w:bCs/>
        </w:rPr>
      </w:pPr>
      <w:r w:rsidRPr="0017793E">
        <w:rPr>
          <w:rFonts w:ascii="Times New Roman" w:hAnsi="Times New Roman" w:cs="Times New Roman"/>
          <w:b/>
          <w:bCs/>
        </w:rPr>
        <w:t>1. Movement-Over-Time Plots</w:t>
      </w:r>
    </w:p>
    <w:p w14:paraId="7907ACEE" w14:textId="7769CFBC" w:rsidR="0017793E" w:rsidRPr="0017793E" w:rsidRDefault="6F124D08" w:rsidP="0017793E">
      <w:pPr>
        <w:rPr>
          <w:rFonts w:ascii="Times New Roman" w:hAnsi="Times New Roman" w:cs="Times New Roman"/>
        </w:rPr>
      </w:pPr>
      <w:r w:rsidRPr="6F124D08">
        <w:rPr>
          <w:rFonts w:ascii="Times New Roman" w:hAnsi="Times New Roman" w:cs="Times New Roman"/>
        </w:rPr>
        <w:t>This download contains per-plate movement-over-time visualizations.</w:t>
      </w:r>
    </w:p>
    <w:p w14:paraId="368215CE" w14:textId="6B816A51" w:rsidR="0017793E" w:rsidRPr="0017793E" w:rsidRDefault="0017793E" w:rsidP="0017793E">
      <w:pPr>
        <w:numPr>
          <w:ilvl w:val="0"/>
          <w:numId w:val="11"/>
        </w:numPr>
        <w:rPr>
          <w:rFonts w:ascii="Times New Roman" w:hAnsi="Times New Roman" w:cs="Times New Roman"/>
        </w:rPr>
      </w:pPr>
      <w:r w:rsidRPr="0017793E">
        <w:rPr>
          <w:rFonts w:ascii="Times New Roman" w:hAnsi="Times New Roman" w:cs="Times New Roman"/>
        </w:rPr>
        <w:t xml:space="preserve">Each </w:t>
      </w:r>
      <w:r w:rsidRPr="00154190">
        <w:rPr>
          <w:rFonts w:ascii="Times New Roman" w:hAnsi="Times New Roman" w:cs="Times New Roman"/>
        </w:rPr>
        <w:t>panel</w:t>
      </w:r>
      <w:r w:rsidRPr="0017793E">
        <w:rPr>
          <w:rFonts w:ascii="Times New Roman" w:hAnsi="Times New Roman" w:cs="Times New Roman"/>
        </w:rPr>
        <w:t xml:space="preserve"> displays the median distance moved per minute for viable larvae treated with vehicle control or with each test concentration.</w:t>
      </w:r>
    </w:p>
    <w:p w14:paraId="61852314" w14:textId="31535E60" w:rsidR="0017793E" w:rsidRPr="0017793E" w:rsidRDefault="6F124D08" w:rsidP="0017793E">
      <w:pPr>
        <w:numPr>
          <w:ilvl w:val="0"/>
          <w:numId w:val="11"/>
        </w:numPr>
        <w:rPr>
          <w:rFonts w:ascii="Times New Roman" w:hAnsi="Times New Roman" w:cs="Times New Roman"/>
        </w:rPr>
      </w:pPr>
      <w:r w:rsidRPr="6F124D08">
        <w:rPr>
          <w:rFonts w:ascii="Times New Roman" w:hAnsi="Times New Roman" w:cs="Times New Roman"/>
        </w:rPr>
        <w:lastRenderedPageBreak/>
        <w:t>Files are organized by laboratory (e.g., Lab-A_movement_plate.pdf) as well as are organized by chemical for all laboratories (e.g., Lab-ABCD_movement_plate.pdf).</w:t>
      </w:r>
    </w:p>
    <w:p w14:paraId="4B9F9BF1" w14:textId="77777777" w:rsidR="0017793E" w:rsidRPr="0017793E" w:rsidRDefault="0017793E" w:rsidP="0017793E">
      <w:pPr>
        <w:rPr>
          <w:rFonts w:ascii="Times New Roman" w:hAnsi="Times New Roman" w:cs="Times New Roman"/>
          <w:b/>
          <w:bCs/>
        </w:rPr>
      </w:pPr>
      <w:r w:rsidRPr="0017793E">
        <w:rPr>
          <w:rFonts w:ascii="Times New Roman" w:hAnsi="Times New Roman" w:cs="Times New Roman"/>
          <w:b/>
          <w:bCs/>
        </w:rPr>
        <w:t>2. Plate Data (Raw Data)</w:t>
      </w:r>
    </w:p>
    <w:p w14:paraId="452E590C" w14:textId="6658651C" w:rsidR="0017793E" w:rsidRPr="0017793E" w:rsidRDefault="6F124D08">
      <w:pPr>
        <w:rPr>
          <w:rFonts w:ascii="Times New Roman" w:hAnsi="Times New Roman" w:cs="Times New Roman"/>
        </w:rPr>
      </w:pPr>
      <w:r w:rsidRPr="6F124D08">
        <w:rPr>
          <w:rFonts w:ascii="Times New Roman" w:hAnsi="Times New Roman" w:cs="Times New Roman"/>
        </w:rPr>
        <w:t>This download contains the raw plate-level zebrafish LDTT data that passed all QC criteria.</w:t>
      </w:r>
    </w:p>
    <w:p w14:paraId="1E1AFBCD" w14:textId="4BF1DA6D" w:rsidR="0017793E" w:rsidRPr="0017793E" w:rsidRDefault="0017793E" w:rsidP="0017793E">
      <w:pPr>
        <w:numPr>
          <w:ilvl w:val="0"/>
          <w:numId w:val="12"/>
        </w:numPr>
        <w:rPr>
          <w:rFonts w:ascii="Times New Roman" w:hAnsi="Times New Roman" w:cs="Times New Roman"/>
        </w:rPr>
      </w:pPr>
      <w:r w:rsidRPr="0017793E">
        <w:rPr>
          <w:rFonts w:ascii="Times New Roman" w:hAnsi="Times New Roman" w:cs="Times New Roman"/>
        </w:rPr>
        <w:t xml:space="preserve">Includes </w:t>
      </w:r>
      <w:r w:rsidRPr="00154190">
        <w:rPr>
          <w:rFonts w:ascii="Times New Roman" w:hAnsi="Times New Roman" w:cs="Times New Roman"/>
        </w:rPr>
        <w:t xml:space="preserve">distance moved per minute data </w:t>
      </w:r>
      <w:r w:rsidRPr="0017793E">
        <w:rPr>
          <w:rFonts w:ascii="Times New Roman" w:hAnsi="Times New Roman" w:cs="Times New Roman"/>
        </w:rPr>
        <w:t>and developmental toxicity observations for each embryo.</w:t>
      </w:r>
    </w:p>
    <w:p w14:paraId="7468B5BA" w14:textId="3A8D0B1D" w:rsidR="00165626" w:rsidRDefault="0017793E" w:rsidP="0017793E">
      <w:pPr>
        <w:numPr>
          <w:ilvl w:val="0"/>
          <w:numId w:val="12"/>
        </w:numPr>
        <w:rPr>
          <w:rFonts w:ascii="Times New Roman" w:hAnsi="Times New Roman" w:cs="Times New Roman"/>
        </w:rPr>
      </w:pPr>
      <w:r w:rsidRPr="0017793E">
        <w:rPr>
          <w:rFonts w:ascii="Times New Roman" w:hAnsi="Times New Roman" w:cs="Times New Roman"/>
        </w:rPr>
        <w:t>Files are stored in RDS</w:t>
      </w:r>
      <w:r w:rsidR="00165626">
        <w:rPr>
          <w:rFonts w:ascii="Times New Roman" w:hAnsi="Times New Roman" w:cs="Times New Roman"/>
        </w:rPr>
        <w:t xml:space="preserve"> (or TSV)</w:t>
      </w:r>
      <w:r w:rsidRPr="0017793E">
        <w:rPr>
          <w:rFonts w:ascii="Times New Roman" w:hAnsi="Times New Roman" w:cs="Times New Roman"/>
        </w:rPr>
        <w:t xml:space="preserve"> format</w:t>
      </w:r>
      <w:r w:rsidRPr="00154190">
        <w:rPr>
          <w:rFonts w:ascii="Times New Roman" w:hAnsi="Times New Roman" w:cs="Times New Roman"/>
        </w:rPr>
        <w:t xml:space="preserve"> and </w:t>
      </w:r>
      <w:r w:rsidRPr="0017793E">
        <w:rPr>
          <w:rFonts w:ascii="Times New Roman" w:hAnsi="Times New Roman" w:cs="Times New Roman"/>
        </w:rPr>
        <w:t>organized by laboratory</w:t>
      </w:r>
      <w:r w:rsidR="00165626">
        <w:rPr>
          <w:rFonts w:ascii="Times New Roman" w:hAnsi="Times New Roman" w:cs="Times New Roman"/>
        </w:rPr>
        <w:t>.</w:t>
      </w:r>
    </w:p>
    <w:p w14:paraId="0A5F7D39" w14:textId="682BD403" w:rsidR="0017793E" w:rsidRPr="0017793E" w:rsidRDefault="00165626" w:rsidP="0017793E">
      <w:pPr>
        <w:numPr>
          <w:ilvl w:val="0"/>
          <w:numId w:val="12"/>
        </w:numPr>
        <w:rPr>
          <w:rFonts w:ascii="Times New Roman" w:hAnsi="Times New Roman" w:cs="Times New Roman"/>
        </w:rPr>
      </w:pPr>
      <w:r>
        <w:rPr>
          <w:rFonts w:ascii="Times New Roman" w:hAnsi="Times New Roman" w:cs="Times New Roman"/>
        </w:rPr>
        <w:t xml:space="preserve">One XLSX file includes all four-laboratory data.  </w:t>
      </w:r>
    </w:p>
    <w:p w14:paraId="0C53A34A" w14:textId="77777777" w:rsidR="0017793E" w:rsidRPr="0017793E" w:rsidRDefault="0017793E" w:rsidP="0017793E">
      <w:pPr>
        <w:rPr>
          <w:rFonts w:ascii="Times New Roman" w:hAnsi="Times New Roman" w:cs="Times New Roman"/>
          <w:b/>
          <w:bCs/>
        </w:rPr>
      </w:pPr>
      <w:r w:rsidRPr="0017793E">
        <w:rPr>
          <w:rFonts w:ascii="Times New Roman" w:hAnsi="Times New Roman" w:cs="Times New Roman"/>
          <w:b/>
          <w:bCs/>
        </w:rPr>
        <w:t>3. Endpoint Data</w:t>
      </w:r>
    </w:p>
    <w:p w14:paraId="7FAC0E78" w14:textId="7471660E" w:rsidR="0017793E" w:rsidRPr="0017793E" w:rsidRDefault="6F124D08">
      <w:pPr>
        <w:rPr>
          <w:rFonts w:ascii="Times New Roman" w:hAnsi="Times New Roman" w:cs="Times New Roman"/>
        </w:rPr>
      </w:pPr>
      <w:r w:rsidRPr="6F124D08">
        <w:rPr>
          <w:rFonts w:ascii="Times New Roman" w:hAnsi="Times New Roman" w:cs="Times New Roman"/>
        </w:rPr>
        <w:t>This download contains calculated analytical endpoints (DNT and DT) for each plate.</w:t>
      </w:r>
    </w:p>
    <w:p w14:paraId="659AD5C0" w14:textId="2FC4A3DF" w:rsidR="0017793E" w:rsidRDefault="0017793E" w:rsidP="0017793E">
      <w:pPr>
        <w:numPr>
          <w:ilvl w:val="0"/>
          <w:numId w:val="13"/>
        </w:numPr>
        <w:rPr>
          <w:rFonts w:ascii="Times New Roman" w:hAnsi="Times New Roman" w:cs="Times New Roman"/>
        </w:rPr>
      </w:pPr>
      <w:r w:rsidRPr="0017793E">
        <w:rPr>
          <w:rFonts w:ascii="Times New Roman" w:hAnsi="Times New Roman" w:cs="Times New Roman"/>
        </w:rPr>
        <w:t>Files are provided in RDS format</w:t>
      </w:r>
      <w:r w:rsidR="00165626">
        <w:rPr>
          <w:rFonts w:ascii="Times New Roman" w:hAnsi="Times New Roman" w:cs="Times New Roman"/>
        </w:rPr>
        <w:t xml:space="preserve"> (or TSV) format</w:t>
      </w:r>
      <w:r w:rsidRPr="0017793E">
        <w:rPr>
          <w:rFonts w:ascii="Times New Roman" w:hAnsi="Times New Roman" w:cs="Times New Roman"/>
        </w:rPr>
        <w:t xml:space="preserve"> and organized by laboratory.</w:t>
      </w:r>
    </w:p>
    <w:p w14:paraId="1E9B7F1C" w14:textId="1EEDE05C" w:rsidR="00165626" w:rsidRPr="00165626" w:rsidRDefault="000124CA" w:rsidP="00165626">
      <w:pPr>
        <w:numPr>
          <w:ilvl w:val="0"/>
          <w:numId w:val="13"/>
        </w:numPr>
        <w:rPr>
          <w:rFonts w:ascii="Times New Roman" w:hAnsi="Times New Roman" w:cs="Times New Roman"/>
        </w:rPr>
      </w:pPr>
      <w:r>
        <w:rPr>
          <w:rFonts w:ascii="Times New Roman" w:hAnsi="Times New Roman" w:cs="Times New Roman"/>
        </w:rPr>
        <w:t>Two</w:t>
      </w:r>
      <w:r w:rsidR="00165626">
        <w:rPr>
          <w:rFonts w:ascii="Times New Roman" w:hAnsi="Times New Roman" w:cs="Times New Roman"/>
        </w:rPr>
        <w:t xml:space="preserve"> XLSX file includes all four-laboratory</w:t>
      </w:r>
      <w:r>
        <w:rPr>
          <w:rFonts w:ascii="Times New Roman" w:hAnsi="Times New Roman" w:cs="Times New Roman"/>
        </w:rPr>
        <w:t xml:space="preserve"> DNT and DT</w:t>
      </w:r>
      <w:r w:rsidR="00165626">
        <w:rPr>
          <w:rFonts w:ascii="Times New Roman" w:hAnsi="Times New Roman" w:cs="Times New Roman"/>
        </w:rPr>
        <w:t xml:space="preserve"> data.  </w:t>
      </w:r>
    </w:p>
    <w:p w14:paraId="2A54D402" w14:textId="77777777" w:rsidR="0017793E" w:rsidRPr="0017793E" w:rsidRDefault="0017793E" w:rsidP="0017793E">
      <w:pPr>
        <w:rPr>
          <w:rFonts w:ascii="Times New Roman" w:hAnsi="Times New Roman" w:cs="Times New Roman"/>
          <w:b/>
          <w:bCs/>
        </w:rPr>
      </w:pPr>
      <w:r w:rsidRPr="0017793E">
        <w:rPr>
          <w:rFonts w:ascii="Times New Roman" w:hAnsi="Times New Roman" w:cs="Times New Roman"/>
          <w:b/>
          <w:bCs/>
        </w:rPr>
        <w:t>4. Potency Data</w:t>
      </w:r>
    </w:p>
    <w:p w14:paraId="13561CA2" w14:textId="3D6527AA" w:rsidR="0017793E" w:rsidRPr="0017793E" w:rsidRDefault="6F124D08">
      <w:pPr>
        <w:rPr>
          <w:rFonts w:ascii="Times New Roman" w:hAnsi="Times New Roman" w:cs="Times New Roman"/>
        </w:rPr>
      </w:pPr>
      <w:r w:rsidRPr="6F124D08">
        <w:rPr>
          <w:rFonts w:ascii="Times New Roman" w:hAnsi="Times New Roman" w:cs="Times New Roman"/>
        </w:rPr>
        <w:t>This download contains benchmark concentration (BMC) and activity concentration at cutoff (ACC) results for both the zebrafish LDTT and the DNT-IVB assays.</w:t>
      </w:r>
    </w:p>
    <w:p w14:paraId="69953409" w14:textId="77777777" w:rsidR="0017793E" w:rsidRPr="0017793E" w:rsidRDefault="0017793E" w:rsidP="0017793E">
      <w:pPr>
        <w:numPr>
          <w:ilvl w:val="0"/>
          <w:numId w:val="14"/>
        </w:numPr>
        <w:rPr>
          <w:rFonts w:ascii="Times New Roman" w:hAnsi="Times New Roman" w:cs="Times New Roman"/>
        </w:rPr>
      </w:pPr>
      <w:r w:rsidRPr="0017793E">
        <w:rPr>
          <w:rFonts w:ascii="Times New Roman" w:hAnsi="Times New Roman" w:cs="Times New Roman"/>
        </w:rPr>
        <w:t>Data include full potency outputs and intermediate summary datasets.</w:t>
      </w:r>
    </w:p>
    <w:p w14:paraId="1BFA3E86" w14:textId="77777777" w:rsidR="0017793E" w:rsidRPr="0017793E" w:rsidRDefault="0017793E" w:rsidP="0017793E">
      <w:pPr>
        <w:numPr>
          <w:ilvl w:val="0"/>
          <w:numId w:val="14"/>
        </w:numPr>
        <w:rPr>
          <w:rFonts w:ascii="Times New Roman" w:hAnsi="Times New Roman" w:cs="Times New Roman"/>
        </w:rPr>
      </w:pPr>
      <w:r w:rsidRPr="0017793E">
        <w:rPr>
          <w:rFonts w:ascii="Times New Roman" w:hAnsi="Times New Roman" w:cs="Times New Roman"/>
        </w:rPr>
        <w:t>The complete potency dataset is provided in an Excel workbook containing the following sheets:</w:t>
      </w:r>
    </w:p>
    <w:p w14:paraId="6A3D5AD1" w14:textId="77777777" w:rsidR="0017793E" w:rsidRPr="0017793E" w:rsidRDefault="0017793E" w:rsidP="00154190">
      <w:pPr>
        <w:ind w:left="720"/>
        <w:rPr>
          <w:rFonts w:ascii="Times New Roman" w:hAnsi="Times New Roman" w:cs="Times New Roman"/>
        </w:rPr>
      </w:pPr>
      <w:r w:rsidRPr="0017793E">
        <w:rPr>
          <w:rFonts w:ascii="Times New Roman" w:hAnsi="Times New Roman" w:cs="Times New Roman"/>
        </w:rPr>
        <w:t>DNT-IVB Data (33 compounds)</w:t>
      </w:r>
    </w:p>
    <w:p w14:paraId="4ED1F059" w14:textId="77777777" w:rsidR="0017793E" w:rsidRPr="0017793E" w:rsidRDefault="0017793E" w:rsidP="00154190">
      <w:pPr>
        <w:numPr>
          <w:ilvl w:val="0"/>
          <w:numId w:val="15"/>
        </w:numPr>
        <w:tabs>
          <w:tab w:val="clear" w:pos="720"/>
          <w:tab w:val="num" w:pos="1440"/>
        </w:tabs>
        <w:ind w:left="1440"/>
        <w:rPr>
          <w:rFonts w:ascii="Times New Roman" w:hAnsi="Times New Roman" w:cs="Times New Roman"/>
        </w:rPr>
      </w:pPr>
      <w:r w:rsidRPr="0017793E">
        <w:rPr>
          <w:rFonts w:ascii="Times New Roman" w:hAnsi="Times New Roman" w:cs="Times New Roman"/>
        </w:rPr>
        <w:t>endpoint (DNT-IVB, 33)</w:t>
      </w:r>
    </w:p>
    <w:p w14:paraId="66FE59CD" w14:textId="77777777" w:rsidR="0017793E" w:rsidRPr="0017793E" w:rsidRDefault="0017793E" w:rsidP="00154190">
      <w:pPr>
        <w:numPr>
          <w:ilvl w:val="0"/>
          <w:numId w:val="15"/>
        </w:numPr>
        <w:tabs>
          <w:tab w:val="clear" w:pos="720"/>
          <w:tab w:val="num" w:pos="1440"/>
        </w:tabs>
        <w:ind w:left="1440"/>
        <w:rPr>
          <w:rFonts w:ascii="Times New Roman" w:hAnsi="Times New Roman" w:cs="Times New Roman"/>
        </w:rPr>
      </w:pPr>
      <w:r w:rsidRPr="0017793E">
        <w:rPr>
          <w:rFonts w:ascii="Times New Roman" w:hAnsi="Times New Roman" w:cs="Times New Roman"/>
        </w:rPr>
        <w:t>assay-summary (DNT-IVB, 33)</w:t>
      </w:r>
    </w:p>
    <w:p w14:paraId="46C7F4A6" w14:textId="77777777" w:rsidR="0017793E" w:rsidRPr="0017793E" w:rsidRDefault="0017793E" w:rsidP="00154190">
      <w:pPr>
        <w:numPr>
          <w:ilvl w:val="0"/>
          <w:numId w:val="15"/>
        </w:numPr>
        <w:tabs>
          <w:tab w:val="clear" w:pos="720"/>
          <w:tab w:val="num" w:pos="1440"/>
        </w:tabs>
        <w:ind w:left="1440"/>
        <w:rPr>
          <w:rFonts w:ascii="Times New Roman" w:hAnsi="Times New Roman" w:cs="Times New Roman"/>
        </w:rPr>
      </w:pPr>
      <w:r w:rsidRPr="0017793E">
        <w:rPr>
          <w:rFonts w:ascii="Times New Roman" w:hAnsi="Times New Roman" w:cs="Times New Roman"/>
        </w:rPr>
        <w:t>compound-summary (DNT-IVB, 33)</w:t>
      </w:r>
    </w:p>
    <w:p w14:paraId="000162B8" w14:textId="77777777" w:rsidR="0017793E" w:rsidRPr="0017793E" w:rsidRDefault="0017793E" w:rsidP="00154190">
      <w:pPr>
        <w:ind w:left="720"/>
        <w:rPr>
          <w:rFonts w:ascii="Times New Roman" w:hAnsi="Times New Roman" w:cs="Times New Roman"/>
        </w:rPr>
      </w:pPr>
      <w:r w:rsidRPr="0017793E">
        <w:rPr>
          <w:rFonts w:ascii="Times New Roman" w:hAnsi="Times New Roman" w:cs="Times New Roman"/>
        </w:rPr>
        <w:t>Zebrafish LDTT Data (All 33 compounds)</w:t>
      </w:r>
    </w:p>
    <w:p w14:paraId="5034DB39" w14:textId="77777777" w:rsidR="0017793E" w:rsidRPr="0017793E" w:rsidRDefault="0017793E" w:rsidP="00154190">
      <w:pPr>
        <w:numPr>
          <w:ilvl w:val="0"/>
          <w:numId w:val="16"/>
        </w:numPr>
        <w:tabs>
          <w:tab w:val="clear" w:pos="720"/>
          <w:tab w:val="num" w:pos="1440"/>
        </w:tabs>
        <w:ind w:left="1440"/>
        <w:rPr>
          <w:rFonts w:ascii="Times New Roman" w:hAnsi="Times New Roman" w:cs="Times New Roman"/>
        </w:rPr>
      </w:pPr>
      <w:r w:rsidRPr="0017793E">
        <w:rPr>
          <w:rFonts w:ascii="Times New Roman" w:hAnsi="Times New Roman" w:cs="Times New Roman"/>
        </w:rPr>
        <w:t>endpoint (Zebrafish, 33)</w:t>
      </w:r>
    </w:p>
    <w:p w14:paraId="16CB0442" w14:textId="77777777" w:rsidR="0017793E" w:rsidRPr="0017793E" w:rsidRDefault="0017793E" w:rsidP="00154190">
      <w:pPr>
        <w:numPr>
          <w:ilvl w:val="0"/>
          <w:numId w:val="16"/>
        </w:numPr>
        <w:tabs>
          <w:tab w:val="clear" w:pos="720"/>
          <w:tab w:val="num" w:pos="1440"/>
        </w:tabs>
        <w:ind w:left="1440"/>
        <w:rPr>
          <w:rFonts w:ascii="Times New Roman" w:hAnsi="Times New Roman" w:cs="Times New Roman"/>
        </w:rPr>
      </w:pPr>
      <w:r w:rsidRPr="0017793E">
        <w:rPr>
          <w:rFonts w:ascii="Times New Roman" w:hAnsi="Times New Roman" w:cs="Times New Roman"/>
        </w:rPr>
        <w:t>plate-summary (Zebrafish, 33)</w:t>
      </w:r>
    </w:p>
    <w:p w14:paraId="056F248F" w14:textId="77777777" w:rsidR="0017793E" w:rsidRPr="0017793E" w:rsidRDefault="0017793E" w:rsidP="00154190">
      <w:pPr>
        <w:numPr>
          <w:ilvl w:val="0"/>
          <w:numId w:val="16"/>
        </w:numPr>
        <w:tabs>
          <w:tab w:val="clear" w:pos="720"/>
          <w:tab w:val="num" w:pos="1440"/>
        </w:tabs>
        <w:ind w:left="1440"/>
        <w:rPr>
          <w:rFonts w:ascii="Times New Roman" w:hAnsi="Times New Roman" w:cs="Times New Roman"/>
        </w:rPr>
      </w:pPr>
      <w:r w:rsidRPr="0017793E">
        <w:rPr>
          <w:rFonts w:ascii="Times New Roman" w:hAnsi="Times New Roman" w:cs="Times New Roman"/>
        </w:rPr>
        <w:t>lab-summary (Zebrafish, 33)</w:t>
      </w:r>
    </w:p>
    <w:p w14:paraId="13DA277E" w14:textId="77777777" w:rsidR="0017793E" w:rsidRPr="0017793E" w:rsidRDefault="0017793E" w:rsidP="00154190">
      <w:pPr>
        <w:numPr>
          <w:ilvl w:val="0"/>
          <w:numId w:val="16"/>
        </w:numPr>
        <w:tabs>
          <w:tab w:val="clear" w:pos="720"/>
          <w:tab w:val="num" w:pos="1440"/>
        </w:tabs>
        <w:ind w:left="1440"/>
        <w:rPr>
          <w:rFonts w:ascii="Times New Roman" w:hAnsi="Times New Roman" w:cs="Times New Roman"/>
        </w:rPr>
      </w:pPr>
      <w:r w:rsidRPr="0017793E">
        <w:rPr>
          <w:rFonts w:ascii="Times New Roman" w:hAnsi="Times New Roman" w:cs="Times New Roman"/>
        </w:rPr>
        <w:t>compound-summary (Zebrafish, 33)</w:t>
      </w:r>
    </w:p>
    <w:p w14:paraId="3329C053" w14:textId="77777777" w:rsidR="0017793E" w:rsidRPr="0017793E" w:rsidRDefault="0017793E" w:rsidP="00154190">
      <w:pPr>
        <w:ind w:left="720"/>
        <w:rPr>
          <w:rFonts w:ascii="Times New Roman" w:hAnsi="Times New Roman" w:cs="Times New Roman"/>
        </w:rPr>
      </w:pPr>
      <w:r w:rsidRPr="0017793E">
        <w:rPr>
          <w:rFonts w:ascii="Times New Roman" w:hAnsi="Times New Roman" w:cs="Times New Roman"/>
        </w:rPr>
        <w:t>Zebrafish LDTT Data (Subset of 19 compounds with matching concentration ranges across laboratories)</w:t>
      </w:r>
    </w:p>
    <w:p w14:paraId="63C408CA" w14:textId="77777777" w:rsidR="0017793E" w:rsidRPr="0017793E" w:rsidRDefault="0017793E" w:rsidP="0017793E">
      <w:pPr>
        <w:numPr>
          <w:ilvl w:val="0"/>
          <w:numId w:val="17"/>
        </w:numPr>
        <w:rPr>
          <w:rFonts w:ascii="Times New Roman" w:hAnsi="Times New Roman" w:cs="Times New Roman"/>
        </w:rPr>
      </w:pPr>
      <w:r w:rsidRPr="0017793E">
        <w:rPr>
          <w:rFonts w:ascii="Times New Roman" w:hAnsi="Times New Roman" w:cs="Times New Roman"/>
        </w:rPr>
        <w:lastRenderedPageBreak/>
        <w:t>endpoint (Zebrafish, 19)</w:t>
      </w:r>
    </w:p>
    <w:p w14:paraId="72922903" w14:textId="77777777" w:rsidR="0017793E" w:rsidRPr="0017793E" w:rsidRDefault="0017793E" w:rsidP="0017793E">
      <w:pPr>
        <w:numPr>
          <w:ilvl w:val="0"/>
          <w:numId w:val="17"/>
        </w:numPr>
        <w:rPr>
          <w:rFonts w:ascii="Times New Roman" w:hAnsi="Times New Roman" w:cs="Times New Roman"/>
        </w:rPr>
      </w:pPr>
      <w:r w:rsidRPr="0017793E">
        <w:rPr>
          <w:rFonts w:ascii="Times New Roman" w:hAnsi="Times New Roman" w:cs="Times New Roman"/>
        </w:rPr>
        <w:t>plate-summary (Zebrafish, 19)</w:t>
      </w:r>
    </w:p>
    <w:p w14:paraId="6C3C4D0D" w14:textId="77777777" w:rsidR="0017793E" w:rsidRPr="0017793E" w:rsidRDefault="0017793E" w:rsidP="0017793E">
      <w:pPr>
        <w:numPr>
          <w:ilvl w:val="0"/>
          <w:numId w:val="17"/>
        </w:numPr>
        <w:rPr>
          <w:rFonts w:ascii="Times New Roman" w:hAnsi="Times New Roman" w:cs="Times New Roman"/>
        </w:rPr>
      </w:pPr>
      <w:r w:rsidRPr="0017793E">
        <w:rPr>
          <w:rFonts w:ascii="Times New Roman" w:hAnsi="Times New Roman" w:cs="Times New Roman"/>
        </w:rPr>
        <w:t>lab-summary (Zebrafish, 19)</w:t>
      </w:r>
    </w:p>
    <w:p w14:paraId="6064DA64" w14:textId="77777777" w:rsidR="0017793E" w:rsidRPr="0017793E" w:rsidRDefault="0017793E" w:rsidP="00154190">
      <w:pPr>
        <w:ind w:left="720"/>
        <w:rPr>
          <w:rFonts w:ascii="Times New Roman" w:hAnsi="Times New Roman" w:cs="Times New Roman"/>
        </w:rPr>
      </w:pPr>
      <w:r w:rsidRPr="0017793E">
        <w:rPr>
          <w:rFonts w:ascii="Times New Roman" w:hAnsi="Times New Roman" w:cs="Times New Roman"/>
        </w:rPr>
        <w:t>Datasets used for Figures 4–6</w:t>
      </w:r>
    </w:p>
    <w:p w14:paraId="181B131C" w14:textId="77777777" w:rsidR="0017793E" w:rsidRPr="0017793E" w:rsidRDefault="0017793E" w:rsidP="00154190">
      <w:pPr>
        <w:numPr>
          <w:ilvl w:val="0"/>
          <w:numId w:val="18"/>
        </w:numPr>
        <w:tabs>
          <w:tab w:val="clear" w:pos="720"/>
          <w:tab w:val="num" w:pos="1440"/>
        </w:tabs>
        <w:ind w:left="1440"/>
        <w:rPr>
          <w:rFonts w:ascii="Times New Roman" w:hAnsi="Times New Roman" w:cs="Times New Roman"/>
        </w:rPr>
      </w:pPr>
      <w:r w:rsidRPr="0017793E">
        <w:rPr>
          <w:rFonts w:ascii="Times New Roman" w:hAnsi="Times New Roman" w:cs="Times New Roman"/>
        </w:rPr>
        <w:t>compound-summary (DNT-IVB, 33)</w:t>
      </w:r>
    </w:p>
    <w:p w14:paraId="61B8D869" w14:textId="77777777" w:rsidR="0017793E" w:rsidRPr="0017793E" w:rsidRDefault="0017793E" w:rsidP="00154190">
      <w:pPr>
        <w:numPr>
          <w:ilvl w:val="0"/>
          <w:numId w:val="18"/>
        </w:numPr>
        <w:tabs>
          <w:tab w:val="clear" w:pos="720"/>
          <w:tab w:val="num" w:pos="1440"/>
        </w:tabs>
        <w:ind w:left="1440"/>
        <w:rPr>
          <w:rFonts w:ascii="Times New Roman" w:hAnsi="Times New Roman" w:cs="Times New Roman"/>
        </w:rPr>
      </w:pPr>
      <w:r w:rsidRPr="0017793E">
        <w:rPr>
          <w:rFonts w:ascii="Times New Roman" w:hAnsi="Times New Roman" w:cs="Times New Roman"/>
        </w:rPr>
        <w:t>compound-summary (Zebrafish, 33)</w:t>
      </w:r>
    </w:p>
    <w:p w14:paraId="0B5319AD" w14:textId="77777777" w:rsidR="0017793E" w:rsidRPr="0017793E" w:rsidRDefault="0017793E" w:rsidP="00154190">
      <w:pPr>
        <w:numPr>
          <w:ilvl w:val="0"/>
          <w:numId w:val="18"/>
        </w:numPr>
        <w:tabs>
          <w:tab w:val="clear" w:pos="720"/>
          <w:tab w:val="num" w:pos="1440"/>
        </w:tabs>
        <w:ind w:left="1440"/>
        <w:rPr>
          <w:rFonts w:ascii="Times New Roman" w:hAnsi="Times New Roman" w:cs="Times New Roman"/>
        </w:rPr>
      </w:pPr>
      <w:r w:rsidRPr="0017793E">
        <w:rPr>
          <w:rFonts w:ascii="Times New Roman" w:hAnsi="Times New Roman" w:cs="Times New Roman"/>
        </w:rPr>
        <w:t>lab-summary (Zebrafish, 19)</w:t>
      </w:r>
    </w:p>
    <w:p w14:paraId="55941A16" w14:textId="2C9F19C5" w:rsidR="0017793E" w:rsidRPr="00154190" w:rsidRDefault="0017793E" w:rsidP="0017793E"/>
    <w:p w14:paraId="302205C8" w14:textId="2DB99C2E" w:rsidR="00A863E9" w:rsidRPr="004A5010" w:rsidRDefault="00A863E9" w:rsidP="00A863E9"/>
    <w:p w14:paraId="5BEAC1E0" w14:textId="77777777" w:rsidR="004A5010" w:rsidRDefault="004A5010"/>
    <w:sectPr w:rsidR="004A5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1F55"/>
    <w:multiLevelType w:val="hybridMultilevel"/>
    <w:tmpl w:val="74E4CC46"/>
    <w:lvl w:ilvl="0" w:tplc="4DA65B16">
      <w:numFmt w:val="decimal"/>
      <w:lvlText w:val="%1."/>
      <w:lvlJc w:val="left"/>
      <w:pPr>
        <w:ind w:left="720" w:hanging="360"/>
      </w:pPr>
    </w:lvl>
    <w:lvl w:ilvl="1" w:tplc="CDEC6EDC">
      <w:start w:val="1"/>
      <w:numFmt w:val="lowerLetter"/>
      <w:lvlText w:val="%2."/>
      <w:lvlJc w:val="left"/>
      <w:pPr>
        <w:ind w:left="1440" w:hanging="360"/>
      </w:pPr>
    </w:lvl>
    <w:lvl w:ilvl="2" w:tplc="7ECA8ECA">
      <w:start w:val="1"/>
      <w:numFmt w:val="lowerRoman"/>
      <w:lvlText w:val="%3."/>
      <w:lvlJc w:val="right"/>
      <w:pPr>
        <w:ind w:left="2160" w:hanging="180"/>
      </w:pPr>
    </w:lvl>
    <w:lvl w:ilvl="3" w:tplc="7BC0E448">
      <w:start w:val="1"/>
      <w:numFmt w:val="decimal"/>
      <w:lvlText w:val="%4."/>
      <w:lvlJc w:val="left"/>
      <w:pPr>
        <w:ind w:left="2880" w:hanging="360"/>
      </w:pPr>
    </w:lvl>
    <w:lvl w:ilvl="4" w:tplc="30E65636">
      <w:start w:val="1"/>
      <w:numFmt w:val="lowerLetter"/>
      <w:lvlText w:val="%5."/>
      <w:lvlJc w:val="left"/>
      <w:pPr>
        <w:ind w:left="3600" w:hanging="360"/>
      </w:pPr>
    </w:lvl>
    <w:lvl w:ilvl="5" w:tplc="E1262828">
      <w:start w:val="1"/>
      <w:numFmt w:val="lowerRoman"/>
      <w:lvlText w:val="%6."/>
      <w:lvlJc w:val="right"/>
      <w:pPr>
        <w:ind w:left="4320" w:hanging="180"/>
      </w:pPr>
    </w:lvl>
    <w:lvl w:ilvl="6" w:tplc="0B62011C">
      <w:start w:val="1"/>
      <w:numFmt w:val="decimal"/>
      <w:lvlText w:val="%7."/>
      <w:lvlJc w:val="left"/>
      <w:pPr>
        <w:ind w:left="5040" w:hanging="360"/>
      </w:pPr>
    </w:lvl>
    <w:lvl w:ilvl="7" w:tplc="FA4824D6">
      <w:start w:val="1"/>
      <w:numFmt w:val="lowerLetter"/>
      <w:lvlText w:val="%8."/>
      <w:lvlJc w:val="left"/>
      <w:pPr>
        <w:ind w:left="5760" w:hanging="360"/>
      </w:pPr>
    </w:lvl>
    <w:lvl w:ilvl="8" w:tplc="78C24910">
      <w:start w:val="1"/>
      <w:numFmt w:val="lowerRoman"/>
      <w:lvlText w:val="%9."/>
      <w:lvlJc w:val="right"/>
      <w:pPr>
        <w:ind w:left="6480" w:hanging="180"/>
      </w:pPr>
    </w:lvl>
  </w:abstractNum>
  <w:abstractNum w:abstractNumId="1" w15:restartNumberingAfterBreak="0">
    <w:nsid w:val="05AD7538"/>
    <w:multiLevelType w:val="multilevel"/>
    <w:tmpl w:val="539C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45C8"/>
    <w:multiLevelType w:val="multilevel"/>
    <w:tmpl w:val="A7DA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D1E5B"/>
    <w:multiLevelType w:val="multilevel"/>
    <w:tmpl w:val="746A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24F"/>
    <w:multiLevelType w:val="multilevel"/>
    <w:tmpl w:val="63EA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C6DDB"/>
    <w:multiLevelType w:val="multilevel"/>
    <w:tmpl w:val="827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441BE"/>
    <w:multiLevelType w:val="hybridMultilevel"/>
    <w:tmpl w:val="1432254E"/>
    <w:lvl w:ilvl="0" w:tplc="A580D1C8">
      <w:start w:val="1"/>
      <w:numFmt w:val="bullet"/>
      <w:lvlText w:val=""/>
      <w:lvlJc w:val="left"/>
      <w:pPr>
        <w:ind w:left="720" w:hanging="360"/>
      </w:pPr>
      <w:rPr>
        <w:rFonts w:ascii="Symbol" w:hAnsi="Symbol" w:hint="default"/>
      </w:rPr>
    </w:lvl>
    <w:lvl w:ilvl="1" w:tplc="62A60C46">
      <w:start w:val="1"/>
      <w:numFmt w:val="bullet"/>
      <w:lvlText w:val="o"/>
      <w:lvlJc w:val="left"/>
      <w:pPr>
        <w:ind w:left="1440" w:hanging="360"/>
      </w:pPr>
      <w:rPr>
        <w:rFonts w:ascii="Courier New" w:hAnsi="Courier New" w:hint="default"/>
      </w:rPr>
    </w:lvl>
    <w:lvl w:ilvl="2" w:tplc="51DE2290">
      <w:start w:val="1"/>
      <w:numFmt w:val="bullet"/>
      <w:lvlText w:val=""/>
      <w:lvlJc w:val="left"/>
      <w:pPr>
        <w:ind w:left="2160" w:hanging="360"/>
      </w:pPr>
      <w:rPr>
        <w:rFonts w:ascii="Wingdings" w:hAnsi="Wingdings" w:hint="default"/>
      </w:rPr>
    </w:lvl>
    <w:lvl w:ilvl="3" w:tplc="537C22F4">
      <w:start w:val="1"/>
      <w:numFmt w:val="bullet"/>
      <w:lvlText w:val=""/>
      <w:lvlJc w:val="left"/>
      <w:pPr>
        <w:ind w:left="2880" w:hanging="360"/>
      </w:pPr>
      <w:rPr>
        <w:rFonts w:ascii="Symbol" w:hAnsi="Symbol" w:hint="default"/>
      </w:rPr>
    </w:lvl>
    <w:lvl w:ilvl="4" w:tplc="6542106A">
      <w:start w:val="1"/>
      <w:numFmt w:val="bullet"/>
      <w:lvlText w:val="o"/>
      <w:lvlJc w:val="left"/>
      <w:pPr>
        <w:ind w:left="3600" w:hanging="360"/>
      </w:pPr>
      <w:rPr>
        <w:rFonts w:ascii="Courier New" w:hAnsi="Courier New" w:hint="default"/>
      </w:rPr>
    </w:lvl>
    <w:lvl w:ilvl="5" w:tplc="017A12A8">
      <w:start w:val="1"/>
      <w:numFmt w:val="bullet"/>
      <w:lvlText w:val=""/>
      <w:lvlJc w:val="left"/>
      <w:pPr>
        <w:ind w:left="4320" w:hanging="360"/>
      </w:pPr>
      <w:rPr>
        <w:rFonts w:ascii="Wingdings" w:hAnsi="Wingdings" w:hint="default"/>
      </w:rPr>
    </w:lvl>
    <w:lvl w:ilvl="6" w:tplc="15942E60">
      <w:start w:val="1"/>
      <w:numFmt w:val="bullet"/>
      <w:lvlText w:val=""/>
      <w:lvlJc w:val="left"/>
      <w:pPr>
        <w:ind w:left="5040" w:hanging="360"/>
      </w:pPr>
      <w:rPr>
        <w:rFonts w:ascii="Symbol" w:hAnsi="Symbol" w:hint="default"/>
      </w:rPr>
    </w:lvl>
    <w:lvl w:ilvl="7" w:tplc="9B66371A">
      <w:start w:val="1"/>
      <w:numFmt w:val="bullet"/>
      <w:lvlText w:val="o"/>
      <w:lvlJc w:val="left"/>
      <w:pPr>
        <w:ind w:left="5760" w:hanging="360"/>
      </w:pPr>
      <w:rPr>
        <w:rFonts w:ascii="Courier New" w:hAnsi="Courier New" w:hint="default"/>
      </w:rPr>
    </w:lvl>
    <w:lvl w:ilvl="8" w:tplc="6D1A18E4">
      <w:start w:val="1"/>
      <w:numFmt w:val="bullet"/>
      <w:lvlText w:val=""/>
      <w:lvlJc w:val="left"/>
      <w:pPr>
        <w:ind w:left="6480" w:hanging="360"/>
      </w:pPr>
      <w:rPr>
        <w:rFonts w:ascii="Wingdings" w:hAnsi="Wingdings" w:hint="default"/>
      </w:rPr>
    </w:lvl>
  </w:abstractNum>
  <w:abstractNum w:abstractNumId="7" w15:restartNumberingAfterBreak="0">
    <w:nsid w:val="37F85983"/>
    <w:multiLevelType w:val="multilevel"/>
    <w:tmpl w:val="638C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00A35"/>
    <w:multiLevelType w:val="multilevel"/>
    <w:tmpl w:val="934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27AA9"/>
    <w:multiLevelType w:val="multilevel"/>
    <w:tmpl w:val="CAD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811AB"/>
    <w:multiLevelType w:val="multilevel"/>
    <w:tmpl w:val="E3B6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77D46"/>
    <w:multiLevelType w:val="multilevel"/>
    <w:tmpl w:val="944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E644C"/>
    <w:multiLevelType w:val="multilevel"/>
    <w:tmpl w:val="0AFE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E5E1C"/>
    <w:multiLevelType w:val="multilevel"/>
    <w:tmpl w:val="35CE68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5B744AE7"/>
    <w:multiLevelType w:val="multilevel"/>
    <w:tmpl w:val="7A4E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83137"/>
    <w:multiLevelType w:val="multilevel"/>
    <w:tmpl w:val="802E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C7879"/>
    <w:multiLevelType w:val="multilevel"/>
    <w:tmpl w:val="2EE6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A1250"/>
    <w:multiLevelType w:val="multilevel"/>
    <w:tmpl w:val="7FD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7"/>
  </w:num>
  <w:num w:numId="4">
    <w:abstractNumId w:val="9"/>
  </w:num>
  <w:num w:numId="5">
    <w:abstractNumId w:val="5"/>
  </w:num>
  <w:num w:numId="6">
    <w:abstractNumId w:val="8"/>
  </w:num>
  <w:num w:numId="7">
    <w:abstractNumId w:val="1"/>
  </w:num>
  <w:num w:numId="8">
    <w:abstractNumId w:val="4"/>
  </w:num>
  <w:num w:numId="9">
    <w:abstractNumId w:val="11"/>
  </w:num>
  <w:num w:numId="10">
    <w:abstractNumId w:val="2"/>
  </w:num>
  <w:num w:numId="11">
    <w:abstractNumId w:val="15"/>
  </w:num>
  <w:num w:numId="12">
    <w:abstractNumId w:val="3"/>
  </w:num>
  <w:num w:numId="13">
    <w:abstractNumId w:val="14"/>
  </w:num>
  <w:num w:numId="14">
    <w:abstractNumId w:val="7"/>
  </w:num>
  <w:num w:numId="15">
    <w:abstractNumId w:val="10"/>
  </w:num>
  <w:num w:numId="16">
    <w:abstractNumId w:val="16"/>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C8"/>
    <w:rsid w:val="000124CA"/>
    <w:rsid w:val="00154190"/>
    <w:rsid w:val="00165626"/>
    <w:rsid w:val="0017793E"/>
    <w:rsid w:val="00241DC8"/>
    <w:rsid w:val="002A3AF8"/>
    <w:rsid w:val="002D7DF7"/>
    <w:rsid w:val="002E74EE"/>
    <w:rsid w:val="003908B4"/>
    <w:rsid w:val="004A5010"/>
    <w:rsid w:val="00651A5E"/>
    <w:rsid w:val="00694B65"/>
    <w:rsid w:val="006A1E79"/>
    <w:rsid w:val="00751EB5"/>
    <w:rsid w:val="00754D48"/>
    <w:rsid w:val="007813BE"/>
    <w:rsid w:val="007E55E0"/>
    <w:rsid w:val="008713C2"/>
    <w:rsid w:val="008F2963"/>
    <w:rsid w:val="009E3A05"/>
    <w:rsid w:val="00A236A3"/>
    <w:rsid w:val="00A62F16"/>
    <w:rsid w:val="00A863E9"/>
    <w:rsid w:val="00AD47B6"/>
    <w:rsid w:val="00CF23DE"/>
    <w:rsid w:val="00D65CCD"/>
    <w:rsid w:val="00D71417"/>
    <w:rsid w:val="00EF7DDA"/>
    <w:rsid w:val="00FF7089"/>
    <w:rsid w:val="6F12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6C6D"/>
  <w15:chartTrackingRefBased/>
  <w15:docId w15:val="{D0DC7D6A-E4C0-4F7D-9692-DF0F84A7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26"/>
  </w:style>
  <w:style w:type="paragraph" w:styleId="Heading1">
    <w:name w:val="heading 1"/>
    <w:basedOn w:val="Normal"/>
    <w:next w:val="Normal"/>
    <w:link w:val="Heading1Char"/>
    <w:uiPriority w:val="9"/>
    <w:qFormat/>
    <w:rsid w:val="00241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DC8"/>
    <w:rPr>
      <w:rFonts w:eastAsiaTheme="majorEastAsia" w:cstheme="majorBidi"/>
      <w:color w:val="272727" w:themeColor="text1" w:themeTint="D8"/>
    </w:rPr>
  </w:style>
  <w:style w:type="paragraph" w:styleId="Title">
    <w:name w:val="Title"/>
    <w:basedOn w:val="Normal"/>
    <w:next w:val="Normal"/>
    <w:link w:val="TitleChar"/>
    <w:uiPriority w:val="10"/>
    <w:qFormat/>
    <w:rsid w:val="00241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DC8"/>
    <w:pPr>
      <w:spacing w:before="160"/>
      <w:jc w:val="center"/>
    </w:pPr>
    <w:rPr>
      <w:i/>
      <w:iCs/>
      <w:color w:val="404040" w:themeColor="text1" w:themeTint="BF"/>
    </w:rPr>
  </w:style>
  <w:style w:type="character" w:customStyle="1" w:styleId="QuoteChar">
    <w:name w:val="Quote Char"/>
    <w:basedOn w:val="DefaultParagraphFont"/>
    <w:link w:val="Quote"/>
    <w:uiPriority w:val="29"/>
    <w:rsid w:val="00241DC8"/>
    <w:rPr>
      <w:i/>
      <w:iCs/>
      <w:color w:val="404040" w:themeColor="text1" w:themeTint="BF"/>
    </w:rPr>
  </w:style>
  <w:style w:type="paragraph" w:styleId="ListParagraph">
    <w:name w:val="List Paragraph"/>
    <w:basedOn w:val="Normal"/>
    <w:uiPriority w:val="34"/>
    <w:qFormat/>
    <w:rsid w:val="00241DC8"/>
    <w:pPr>
      <w:ind w:left="720"/>
      <w:contextualSpacing/>
    </w:pPr>
  </w:style>
  <w:style w:type="character" w:styleId="IntenseEmphasis">
    <w:name w:val="Intense Emphasis"/>
    <w:basedOn w:val="DefaultParagraphFont"/>
    <w:uiPriority w:val="21"/>
    <w:qFormat/>
    <w:rsid w:val="00241DC8"/>
    <w:rPr>
      <w:i/>
      <w:iCs/>
      <w:color w:val="0F4761" w:themeColor="accent1" w:themeShade="BF"/>
    </w:rPr>
  </w:style>
  <w:style w:type="paragraph" w:styleId="IntenseQuote">
    <w:name w:val="Intense Quote"/>
    <w:basedOn w:val="Normal"/>
    <w:next w:val="Normal"/>
    <w:link w:val="IntenseQuoteChar"/>
    <w:uiPriority w:val="30"/>
    <w:qFormat/>
    <w:rsid w:val="00241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DC8"/>
    <w:rPr>
      <w:i/>
      <w:iCs/>
      <w:color w:val="0F4761" w:themeColor="accent1" w:themeShade="BF"/>
    </w:rPr>
  </w:style>
  <w:style w:type="character" w:styleId="IntenseReference">
    <w:name w:val="Intense Reference"/>
    <w:basedOn w:val="DefaultParagraphFont"/>
    <w:uiPriority w:val="32"/>
    <w:qFormat/>
    <w:rsid w:val="00241DC8"/>
    <w:rPr>
      <w:b/>
      <w:bCs/>
      <w:smallCaps/>
      <w:color w:val="0F4761" w:themeColor="accent1" w:themeShade="BF"/>
      <w:spacing w:val="5"/>
    </w:rPr>
  </w:style>
  <w:style w:type="paragraph" w:styleId="Revision">
    <w:name w:val="Revision"/>
    <w:hidden/>
    <w:uiPriority w:val="99"/>
    <w:semiHidden/>
    <w:rsid w:val="00A236A3"/>
    <w:pPr>
      <w:spacing w:after="0" w:line="240" w:lineRule="auto"/>
    </w:pPr>
  </w:style>
  <w:style w:type="table" w:styleId="GridTable1Light">
    <w:name w:val="Grid Table 1 Light"/>
    <w:basedOn w:val="TableNormal"/>
    <w:uiPriority w:val="46"/>
    <w:rsid w:val="002A3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6F124D0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2997">
      <w:bodyDiv w:val="1"/>
      <w:marLeft w:val="0"/>
      <w:marRight w:val="0"/>
      <w:marTop w:val="0"/>
      <w:marBottom w:val="0"/>
      <w:divBdr>
        <w:top w:val="none" w:sz="0" w:space="0" w:color="auto"/>
        <w:left w:val="none" w:sz="0" w:space="0" w:color="auto"/>
        <w:bottom w:val="none" w:sz="0" w:space="0" w:color="auto"/>
        <w:right w:val="none" w:sz="0" w:space="0" w:color="auto"/>
      </w:divBdr>
    </w:div>
    <w:div w:id="783113241">
      <w:bodyDiv w:val="1"/>
      <w:marLeft w:val="0"/>
      <w:marRight w:val="0"/>
      <w:marTop w:val="0"/>
      <w:marBottom w:val="0"/>
      <w:divBdr>
        <w:top w:val="none" w:sz="0" w:space="0" w:color="auto"/>
        <w:left w:val="none" w:sz="0" w:space="0" w:color="auto"/>
        <w:bottom w:val="none" w:sz="0" w:space="0" w:color="auto"/>
        <w:right w:val="none" w:sz="0" w:space="0" w:color="auto"/>
      </w:divBdr>
    </w:div>
    <w:div w:id="899944355">
      <w:bodyDiv w:val="1"/>
      <w:marLeft w:val="0"/>
      <w:marRight w:val="0"/>
      <w:marTop w:val="0"/>
      <w:marBottom w:val="0"/>
      <w:divBdr>
        <w:top w:val="none" w:sz="0" w:space="0" w:color="auto"/>
        <w:left w:val="none" w:sz="0" w:space="0" w:color="auto"/>
        <w:bottom w:val="none" w:sz="0" w:space="0" w:color="auto"/>
        <w:right w:val="none" w:sz="0" w:space="0" w:color="auto"/>
      </w:divBdr>
    </w:div>
    <w:div w:id="1877888643">
      <w:bodyDiv w:val="1"/>
      <w:marLeft w:val="0"/>
      <w:marRight w:val="0"/>
      <w:marTop w:val="0"/>
      <w:marBottom w:val="0"/>
      <w:divBdr>
        <w:top w:val="none" w:sz="0" w:space="0" w:color="auto"/>
        <w:left w:val="none" w:sz="0" w:space="0" w:color="auto"/>
        <w:bottom w:val="none" w:sz="0" w:space="0" w:color="auto"/>
        <w:right w:val="none" w:sz="0" w:space="0" w:color="auto"/>
      </w:divBdr>
    </w:div>
    <w:div w:id="21185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bs-ext.niehs.nih.gov/cebs/paper/16239/private/MTlkYTM2ZDgyMmZjZDBhNWYwN2IyNzZiNTgwOWExYzcK" TargetMode="Externa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735</Words>
  <Characters>4917</Characters>
  <Application>Microsoft Office Word</Application>
  <DocSecurity>0</DocSecurity>
  <Lines>61</Lines>
  <Paragraphs>14</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Hsieh, Jui-Hua (NIH/NIEHS) [E]</dc:creator>
  <cp:keywords/>
  <dc:description/>
  <cp:lastModifiedBy>Truong, Lisa</cp:lastModifiedBy>
  <cp:revision>3</cp:revision>
  <dcterms:created xsi:type="dcterms:W3CDTF">2026-06-16T18:17:00Z</dcterms:created>
  <dcterms:modified xsi:type="dcterms:W3CDTF">2026-06-16T18:17:00Z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78c64c76-219c-483f-b283-d1920f3834ad</vt:lpwstr>
  </property>
</Properties>
</file>