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C-C Motif Chemokine Ligand 20, LARC, MIP-3a, SCYA20, ST38, CKb4, Small Inducible Cytokine Subfamily A (Cys-Cys) Member 20, Liver And Activation-Regulated Chemokine, Macrophage Inflammatory Protein 3 Alpha, Chemokine (C-C Motif) Ligand 20, Small-Inducible Cytokine A20, C-C Motif Chemokine 20, CC Chemokine LARC, MIP-3-Alpha, Exodus-1, MIP3A, Beta Chemokine Exodus-1, Beta-Chemokine Exodus-1, Exodus [</w:t>
      </w:r>
      <w:hyperlink r:id="rId20">
        <w:r>
          <w:rPr>
            <w:rStyle w:val="Hyperlink"/>
          </w:rPr>
          <w:t xml:space="preserve">https://www.genecards.org/cgi-bin/carddisp.pl?gene=CCL20</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Downregulation of Macrophage Inflammatory Protein 3 alpha (MIP-3-Alpha or Ccl20) mRNA expression was observed in the dorsal horns of the spinal cord following peripheral nerve injury [PMID: 29071937].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P78556</w:t>
      </w:r>
    </w:p>
    <w:p>
      <w:pPr>
        <w:numPr>
          <w:ilvl w:val="0"/>
          <w:numId w:val="1003"/>
        </w:numPr>
        <w:pStyle w:val="Compact"/>
      </w:pPr>
      <w:r>
        <w:t xml:space="preserve">Size: 96 amino acids</w:t>
      </w:r>
    </w:p>
    <w:p>
      <w:pPr>
        <w:numPr>
          <w:ilvl w:val="0"/>
          <w:numId w:val="1003"/>
        </w:numPr>
        <w:pStyle w:val="Compact"/>
      </w:pPr>
      <w:r>
        <w:t xml:space="preserve">Molecular mass: 10762 Da</w:t>
      </w:r>
    </w:p>
    <w:p>
      <w:pPr>
        <w:numPr>
          <w:ilvl w:val="0"/>
          <w:numId w:val="1003"/>
        </w:numPr>
        <w:pStyle w:val="Compact"/>
      </w:pPr>
      <w:r>
        <w:t xml:space="preserve">Domains: Chemokine_b/g/d, Chemokine_CC_CS, Chemokine_CC_DCCL, Chemokine_IL8-like_dom, Interleukin_8-like_sf</w:t>
      </w:r>
    </w:p>
    <w:p>
      <w:pPr>
        <w:numPr>
          <w:ilvl w:val="0"/>
          <w:numId w:val="1003"/>
        </w:numPr>
        <w:pStyle w:val="Compact"/>
      </w:pPr>
      <w:r>
        <w:t xml:space="preserve">Family: Belongs to the intercrine beta (chemokine CC) family</w:t>
      </w:r>
    </w:p>
    <w:p>
      <w:pPr>
        <w:numPr>
          <w:ilvl w:val="0"/>
          <w:numId w:val="1003"/>
        </w:numPr>
        <w:pStyle w:val="Compact"/>
      </w:pPr>
      <w:r>
        <w:t xml:space="preserve">The chemokine ligand CCL20 acts as a ligand for C-C chemokine receptor CCR6. Signals through binding and activation of CCR6 and induces a strong chemotactic response and mobilization of intracellular calcium ions. CCL20 competes with the beta-defensin fusion proteins for specific binding to CCR6 [PMID: 20068036, PMID: 9038201].</w:t>
      </w:r>
    </w:p>
    <w:p>
      <w:pPr>
        <w:numPr>
          <w:ilvl w:val="0"/>
          <w:numId w:val="1003"/>
        </w:numPr>
        <w:pStyle w:val="Compact"/>
      </w:pPr>
      <w:r>
        <w:t xml:space="preserve">The human chemokine receptor CCR6, when bound to its endogenous ligand CCL20, undergoes an allosteric rearrangement of a noncanonical toggle switch and the opening of the intracellular crevice for G protein coupling, suggesting that GPCR activation by a protein agonist does not always require substantial interactions between ligand and the 7-transmembrane (TM) core region [PMID: 32541785].</w:t>
      </w:r>
    </w:p>
    <w:p>
      <w:pPr>
        <w:numPr>
          <w:ilvl w:val="0"/>
          <w:numId w:val="1003"/>
        </w:numPr>
        <w:pStyle w:val="Compact"/>
      </w:pPr>
      <w:r>
        <w:t xml:space="preserve">CCL20 is a C-C chemokine that attracts immature dendritic cells and memory T lymphocytes, both expressing CCR6. LARC/MIP-3alpha can function as an inflammatory chemokine during host defense [PMID: 11035086].</w:t>
      </w:r>
    </w:p>
    <w:p>
      <w:pPr>
        <w:numPr>
          <w:ilvl w:val="0"/>
          <w:numId w:val="1003"/>
        </w:numPr>
        <w:pStyle w:val="Compact"/>
      </w:pPr>
      <w:r>
        <w:t xml:space="preserve">The ligand-receptor pair CCL20-CCR6 is responsible for the chemotaxis of dendritic cells (DC), effector/memory T-cells and B-cells and plays an important role at skin and mucosal surfaces under homeostatic and inflammatory conditions, as well as in pathology, including cancer and various autoimmune diseases [PMID: 21376174].</w:t>
      </w:r>
    </w:p>
    <w:p>
      <w:pPr>
        <w:numPr>
          <w:ilvl w:val="0"/>
          <w:numId w:val="1003"/>
        </w:numPr>
        <w:pStyle w:val="Compact"/>
      </w:pPr>
      <w:r>
        <w:t xml:space="preserve">The CCL20-CCR6 chemokine ligand/receptor interaction in the male and female genital tracts may promote sperm motility and chemotaxis under non-inflammatory conditions [PMID: 23765988].</w:t>
      </w:r>
    </w:p>
    <w:p>
      <w:pPr>
        <w:numPr>
          <w:ilvl w:val="0"/>
          <w:numId w:val="1003"/>
        </w:numPr>
        <w:pStyle w:val="Compact"/>
      </w:pPr>
      <w:r>
        <w:t xml:space="preserve">MIP- 3alpha possesses antibacterial activity against Escherichia coli ATCC 25922 and Staphylococcus aureus ATCC 29213 [PMID: 12149255].</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CCR6</w:t>
      </w:r>
      <w:r>
        <w:t xml:space="preserve"> </w:t>
      </w:r>
      <w:r>
        <w:t xml:space="preserve">C-C chemokine receptor type 6; Receptor for the C-C type chemokine CCL20. Binds to CCL20 and subsequently transduces a signal by increasing the intracellular calcium ion levels. Although CCL20 is its major ligand it can also act as a receptor for non-chemokine ligands such as beta-defensins. Binds to defensin DEFB1 leading to increase in intracellular calcium ions and cAMP levels. Its binding to DEFB1 is essential for the function of DEFB1 in regulating sperm motility and bactericidal activity. Binds to defensins DEFB4 and DEFB4A/B and mediates their chemotactic effects. [PMID: 10498628, PMID: 9169459, PMID: 9223454, PMID: 9294137]</w:t>
      </w:r>
    </w:p>
    <w:p>
      <w:pPr>
        <w:numPr>
          <w:ilvl w:val="0"/>
          <w:numId w:val="1004"/>
        </w:numPr>
        <w:pStyle w:val="Compact"/>
      </w:pPr>
      <w:r>
        <w:rPr>
          <w:bCs/>
          <w:b/>
        </w:rPr>
        <w:t xml:space="preserve">RALBP1</w:t>
      </w:r>
      <w:r>
        <w:t xml:space="preserve"> </w:t>
      </w:r>
      <w:r>
        <w:t xml:space="preserve">RalA-binding protein 1; Can activate specifically hydrolysis of GTP bound to RAC1 and CDC42, but not RALA. Mediates ATP-dependent transport of S-(2,4- dinitrophenyl)-glutathione (DNP-SG) and doxorubicin (DOX) and is the major ATP-dependent transporter of glutathione conjugates of electrophiles (GS-E) and DOX in erythrocytes. Can catalyze transport of glutathione conjugates and xenobiotics, and may contribute to the multidrug resistance phenomenon. [PMID: 17703191, PMID: 18239685]</w:t>
      </w:r>
    </w:p>
    <w:p>
      <w:pPr>
        <w:numPr>
          <w:ilvl w:val="0"/>
          <w:numId w:val="1004"/>
        </w:numPr>
        <w:pStyle w:val="Compact"/>
      </w:pPr>
      <w:r>
        <w:rPr>
          <w:bCs/>
          <w:b/>
        </w:rPr>
        <w:t xml:space="preserve">CCL5</w:t>
      </w:r>
      <w:r>
        <w:t xml:space="preserve"> </w:t>
      </w:r>
      <w:r>
        <w:t xml:space="preserve">C-C motif chemokine 5; Chemoattractant for blood monocytes, memory T-helper cells and eosinophils. Causes the release of histamine from basophils and activates eosinophils. May activate several chemokine receptors including CCR1, CCR3, CCR4 and CCR5. One of the major HIV-suppressive factors produced by CD8+ T-cells. Recombinant RANTES protein induces a dose-dependent inhibition of different strains of HIV-1, HIV-2, and simian immunodeficiency virus (SIV). The processed form RANTES(3-68) acts as a natural chemotaxis inhibitor and is a more potent inhibitor of HIV-1-infection. [PMID: 28381538]</w:t>
      </w:r>
    </w:p>
    <w:p>
      <w:pPr>
        <w:numPr>
          <w:ilvl w:val="0"/>
          <w:numId w:val="1004"/>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11083865]</w:t>
      </w:r>
    </w:p>
    <w:p>
      <w:pPr>
        <w:numPr>
          <w:ilvl w:val="0"/>
          <w:numId w:val="1004"/>
        </w:numPr>
        <w:pStyle w:val="Compact"/>
      </w:pPr>
      <w:r>
        <w:rPr>
          <w:bCs/>
          <w:b/>
        </w:rPr>
        <w:t xml:space="preserve">TRAF6</w:t>
      </w:r>
      <w:r>
        <w:t xml:space="preserve"> </w:t>
      </w:r>
      <w:r>
        <w:t xml:space="preserve">TNF receptor-associated factor 6; E3 ubiquitin ligase that, together with UBE2N and UBE2V1, mediates the synthesis of</w:t>
      </w:r>
      <w:r>
        <w:t xml:space="preserve"> </w:t>
      </w:r>
      <w:r>
        <w:t xml:space="preserve">‘</w:t>
      </w:r>
      <w:r>
        <w:t xml:space="preserve">Lys-63</w:t>
      </w:r>
      <w:r>
        <w:t xml:space="preserve">’</w:t>
      </w:r>
      <w:r>
        <w:t xml:space="preserve">-linked-polyubiquitin chains conjugated to proteins, such as IKBKG, IRAK1, AKT1 and AKT2. Also mediates ubiquitination of free/unanchored polyubiquitin chain that leads to MAP3K7 activation. Leads to the activation of NF-kappa-B and JUN. May be essential for the formation of functional osteoclasts. Seems to also play a role in dendritic cells (DCs) maturation and/or activation. Represses c-Myb-mediated transactivation, in B-lymphocytes. [PMID: 18239685]</w:t>
      </w:r>
    </w:p>
    <w:p>
      <w:pPr>
        <w:numPr>
          <w:ilvl w:val="0"/>
          <w:numId w:val="1004"/>
        </w:numPr>
        <w:pStyle w:val="Compact"/>
      </w:pPr>
      <w:r>
        <w:rPr>
          <w:bCs/>
          <w:b/>
        </w:rPr>
        <w:t xml:space="preserve">TGIF2LX</w:t>
      </w:r>
      <w:r>
        <w:t xml:space="preserve"> </w:t>
      </w:r>
      <w:r>
        <w:t xml:space="preserve">Homeobox protein TGIF2LX; May have a transcription role in testis. [PMID: 33179750]</w:t>
      </w:r>
    </w:p>
    <w:p>
      <w:pPr>
        <w:numPr>
          <w:ilvl w:val="0"/>
          <w:numId w:val="1004"/>
        </w:numPr>
        <w:pStyle w:val="Compact"/>
      </w:pPr>
      <w:r>
        <w:rPr>
          <w:bCs/>
          <w:b/>
        </w:rPr>
        <w:t xml:space="preserve">TGFB3</w:t>
      </w:r>
      <w:r>
        <w:t xml:space="preserve"> </w:t>
      </w:r>
      <w:r>
        <w:t xml:space="preserve">Transforming growth factor beta-3 proprotein; Transforming growth factor beta-3 proprotein: Precursor of the Latency-associated peptide (LAP) and Transforming growth factor beta-3 (TGF-beta-3) chains, which constitute the regulatory and active subunit of TGF-beta-3, respectively. Transforming growth factor beta-3: Multifunctional protein that regulates embryogenesis and cell differentiation and is required in various processes such as secondary palate development (By similarity). [PMID: 21988832]</w:t>
      </w:r>
    </w:p>
    <w:p>
      <w:pPr>
        <w:numPr>
          <w:ilvl w:val="0"/>
          <w:numId w:val="1004"/>
        </w:numPr>
        <w:pStyle w:val="Compact"/>
      </w:pPr>
      <w:r>
        <w:rPr>
          <w:bCs/>
          <w:b/>
        </w:rPr>
        <w:t xml:space="preserve">TBX20</w:t>
      </w:r>
      <w:r>
        <w:t xml:space="preserve"> </w:t>
      </w:r>
      <w:r>
        <w:t xml:space="preserve">T-box transcription factor TBX20; Acts as a transcriptional activator and repressor required for cardiac development and may have key roles in the maintenance of functional and structural phenotypes in adult heart. [PMID: 33179750]</w:t>
      </w:r>
    </w:p>
    <w:p>
      <w:pPr>
        <w:numPr>
          <w:ilvl w:val="0"/>
          <w:numId w:val="1004"/>
        </w:numPr>
        <w:pStyle w:val="Compact"/>
      </w:pPr>
      <w:r>
        <w:rPr>
          <w:bCs/>
          <w:b/>
        </w:rPr>
        <w:t xml:space="preserve">RXRG</w:t>
      </w:r>
      <w:r>
        <w:t xml:space="preserve"> </w:t>
      </w:r>
      <w:r>
        <w:t xml:space="preserve">Retinoic acid receptor RXR-gamma; Receptor for retinoic acid. Retinoic acid receptors bind as heterodimers to their target response elements in response to their ligands, all-trans or 9-cis retinoic acid, and regulate gene expression in various biological processes. The RAR/RXR heterodimers bind to the retinoic acid response elements (RARE) composed of tandem 5’-AGGTCA-3’ sites known as DR1-DR5. The high affinity ligand for RXRs is 9-cis retinoic acid (By similarity). [PMID: 33179750]</w:t>
      </w:r>
    </w:p>
    <w:p>
      <w:pPr>
        <w:numPr>
          <w:ilvl w:val="0"/>
          <w:numId w:val="1004"/>
        </w:numPr>
        <w:pStyle w:val="Compact"/>
      </w:pPr>
      <w:r>
        <w:rPr>
          <w:bCs/>
          <w:b/>
        </w:rPr>
        <w:t xml:space="preserve">REL</w:t>
      </w:r>
      <w:r>
        <w:t xml:space="preserve"> </w:t>
      </w:r>
      <w:r>
        <w:t xml:space="preserve">Proto-oncogene c-Rel; Proto-oncogene that may play a role in differentiation and lymphopoiesis. NF-kappa-B is a pleiotropic transcription factor which is present in almost all cell types and is involved in many biological processed such as inflammation, immunity, differentiation, cell growth, tumorigenesis and apoptosis. NF-kappa-B is a homo- or heterodimeric complex formed by the Rel-like domain-containing proteins RELA/p65, RELB, NFKB1/p105, NFKB1/p50, REL and NFKB2/p52. [PMID: 33179750]</w:t>
      </w:r>
    </w:p>
    <w:p>
      <w:pPr>
        <w:numPr>
          <w:ilvl w:val="0"/>
          <w:numId w:val="1004"/>
        </w:numPr>
        <w:pStyle w:val="Compact"/>
      </w:pPr>
      <w:r>
        <w:rPr>
          <w:bCs/>
          <w:b/>
        </w:rPr>
        <w:t xml:space="preserve">RARG</w:t>
      </w:r>
      <w:r>
        <w:t xml:space="preserve"> </w:t>
      </w:r>
      <w:r>
        <w:t xml:space="preserve">Retinoic acid receptor gamma; Receptor for retinoic acid. Retinoic acid receptors bind as heterodimers to their target response elements in response to their ligands, all-trans or 9-cis retinoic acid, and regulate gene expression in various biological processes. The RAR/RXR heterodimers bind to the retinoic acid response elements (RARE) composed of tandem 5’-AGGTCA-3’ sites known as DR1-DR5. In the absence of ligand, acts mainly as an activator of gene expression due to weak binding to corepressors. Required for limb bud development. [PMID: 33179750]</w:t>
      </w:r>
    </w:p>
    <w:p>
      <w:pPr>
        <w:numPr>
          <w:ilvl w:val="0"/>
          <w:numId w:val="1004"/>
        </w:numPr>
        <w:pStyle w:val="Compact"/>
      </w:pPr>
      <w:r>
        <w:rPr>
          <w:bCs/>
          <w:b/>
        </w:rPr>
        <w:t xml:space="preserve">PLAGL1</w:t>
      </w:r>
      <w:r>
        <w:t xml:space="preserve"> </w:t>
      </w:r>
      <w:r>
        <w:t xml:space="preserve">Zinc finger protein PLAGL1; Acts as a transcriptional activator. Involved in the transcriptional regulation of type 1 receptor for pituitary adenylate cyclase-activating polypeptide. [PMID: 33179750]</w:t>
      </w:r>
    </w:p>
    <w:p>
      <w:pPr>
        <w:numPr>
          <w:ilvl w:val="0"/>
          <w:numId w:val="1004"/>
        </w:numPr>
        <w:pStyle w:val="Compact"/>
      </w:pPr>
      <w:r>
        <w:rPr>
          <w:bCs/>
          <w:b/>
        </w:rPr>
        <w:t xml:space="preserve">PF4</w:t>
      </w:r>
      <w:r>
        <w:t xml:space="preserve"> </w:t>
      </w:r>
      <w:r>
        <w:t xml:space="preserve">Platelet factor 4, short form; Released during platelet aggregation. Neutralizes the anticoagulant effect of heparin because it binds more strongly to heparin than to the chondroitin-4-sulfate chains of the carrier molecule. Chemotactic for neutrophils and monocytes. Inhibits endothelial cell proliferation, the short form is a more potent inhibitor than the longer form; Belongs to the intercrine alpha (chemokine CxC) family. [PMID: 28381538]</w:t>
      </w:r>
    </w:p>
    <w:p>
      <w:pPr>
        <w:numPr>
          <w:ilvl w:val="0"/>
          <w:numId w:val="1004"/>
        </w:numPr>
        <w:pStyle w:val="Compact"/>
      </w:pPr>
      <w:r>
        <w:rPr>
          <w:bCs/>
          <w:b/>
        </w:rPr>
        <w:t xml:space="preserve">NR4A2</w:t>
      </w:r>
      <w:r>
        <w:t xml:space="preserve"> </w:t>
      </w:r>
      <w:r>
        <w:t xml:space="preserve">Nuclear receptor subfamily 4 group A member 2; Transcriptional regulator which is important for the differentiation and maintenance of meso-diencephalic dopaminergic (mdDA) neurons during development. It is crucial for expression of a set of genes such as SLC6A3, SLC18A2, TH and DRD2 which are essential for development of mdDA neurons (By similarity); Belongs to the nuclear hormone receptor family. NR4 subfamily. [PMID: 33179750]</w:t>
      </w:r>
    </w:p>
    <w:p>
      <w:pPr>
        <w:numPr>
          <w:ilvl w:val="0"/>
          <w:numId w:val="1004"/>
        </w:numPr>
        <w:pStyle w:val="Compact"/>
      </w:pPr>
      <w:r>
        <w:rPr>
          <w:bCs/>
          <w:b/>
        </w:rPr>
        <w:t xml:space="preserve">NR2F6</w:t>
      </w:r>
      <w:r>
        <w:t xml:space="preserve"> </w:t>
      </w:r>
      <w:r>
        <w:t xml:space="preserve">Nuclear receptor subfamily 2 group F member 6; Transcription factor predominantly involved in transcriptional repression. Binds to promoter/enhancer response elements that contain the imperfect 5’-AGGTCA-3’ direct or inverted repeats with various spacings which are also recognized by other nuclear hormone receptors. Involved in modulation of hormonal responses. Represses transcriptional activity of the lutropin- choriogonadotropic hormone receptor/LHCGR gene, the renin/REN gene and the oxytocin-neurophysin/OXT gene. [PMID: 33179750]</w:t>
      </w:r>
    </w:p>
    <w:p>
      <w:pPr>
        <w:numPr>
          <w:ilvl w:val="0"/>
          <w:numId w:val="1004"/>
        </w:numPr>
        <w:pStyle w:val="Compact"/>
      </w:pPr>
      <w:r>
        <w:rPr>
          <w:bCs/>
          <w:b/>
        </w:rPr>
        <w:t xml:space="preserve">NR2F2</w:t>
      </w:r>
      <w:r>
        <w:t xml:space="preserve"> </w:t>
      </w:r>
      <w:r>
        <w:t xml:space="preserve">COUP transcription factor 2; Ligand-activated transcription factor. Activated by high concentrations of 9-cis-retinoic acid and all-trans-retinoic acid, but not by dexamethasone, cortisol or progesterone (in vitro). Regulation of the apolipoprotein A-I gene transcription. Binds to DNA site A. [PMID: 33179750]</w:t>
      </w:r>
    </w:p>
    <w:p>
      <w:pPr>
        <w:numPr>
          <w:ilvl w:val="0"/>
          <w:numId w:val="1004"/>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33179750]</w:t>
      </w:r>
    </w:p>
    <w:p>
      <w:pPr>
        <w:numPr>
          <w:ilvl w:val="0"/>
          <w:numId w:val="1004"/>
        </w:numPr>
        <w:pStyle w:val="Compact"/>
      </w:pPr>
      <w:r>
        <w:rPr>
          <w:bCs/>
          <w:b/>
        </w:rPr>
        <w:t xml:space="preserve">MTDH</w:t>
      </w:r>
      <w:r>
        <w:t xml:space="preserve"> </w:t>
      </w:r>
      <w:r>
        <w:t xml:space="preserve">Protein LYRIC; Downregulates SLC1A2/EAAT2 promoter activity when expressed ectopically. Activates the nuclear factor kappa-B (NF-kappa-B) transcription factor. Promotes anchorage-independent growth of immortalized melanocytes and astrocytes which is a key component in tumor cell expansion. Promotes lung metastasis and also has an effect on bone and brain metastasis, possibly by enhancing the seeding of tumor cells to the target organ endothelium. Induces chemoresistance. [PMID: 22199357]</w:t>
      </w:r>
    </w:p>
    <w:p>
      <w:pPr>
        <w:numPr>
          <w:ilvl w:val="0"/>
          <w:numId w:val="1004"/>
        </w:numPr>
        <w:pStyle w:val="Compact"/>
      </w:pPr>
      <w:r>
        <w:rPr>
          <w:bCs/>
          <w:b/>
        </w:rPr>
        <w:t xml:space="preserve">IRX5</w:t>
      </w:r>
      <w:r>
        <w:t xml:space="preserve"> </w:t>
      </w:r>
      <w:r>
        <w:t xml:space="preserve">Iroquois-class homeodomain protein IRX-5; Establishes the cardiac repolarization gradient by its repressive actions on the KCND2 potassium-channel gene. Required for retinal cone bipolar cell differentiation. May regulate contrast adaptation in the retina and control specific aspects of visual function in circuits of the mammalian retina (By similarity). Could be involved in the regulation of both the cell cycle and apoptosis in prostate cancer cells. Involved in craniofacial and gonadal development. [PMID: 33179750]</w:t>
      </w:r>
    </w:p>
    <w:p>
      <w:pPr>
        <w:numPr>
          <w:ilvl w:val="0"/>
          <w:numId w:val="1004"/>
        </w:numPr>
        <w:pStyle w:val="Compact"/>
      </w:pPr>
      <w:r>
        <w:rPr>
          <w:bCs/>
          <w:b/>
        </w:rPr>
        <w:t xml:space="preserve">HNF4A</w:t>
      </w:r>
      <w:r>
        <w:t xml:space="preserve"> </w:t>
      </w:r>
      <w:r>
        <w:t xml:space="preserve">Hepatocyte nuclear factor 4-alpha; Transcriptional regulator which controls the expression of hepatic genes during the transition of endodermal cells to hepatic progenitor cells, facilitating the recruitment of RNA pol II to the promoters of target genes. Activates the transcription of CYP2C38 (By similarity). Represses the CLOCK- ARNTL/BMAL1 transcriptional activity and is essential for circadian rhythm maintenance and period regulation in the liver and colon cells. [PMID: 33179750]</w:t>
      </w:r>
    </w:p>
    <w:p>
      <w:pPr>
        <w:numPr>
          <w:ilvl w:val="0"/>
          <w:numId w:val="1004"/>
        </w:numPr>
        <w:pStyle w:val="Compact"/>
      </w:pPr>
      <w:r>
        <w:rPr>
          <w:bCs/>
          <w:b/>
        </w:rPr>
        <w:t xml:space="preserve">GABPA</w:t>
      </w:r>
      <w:r>
        <w:t xml:space="preserve"> </w:t>
      </w:r>
      <w:r>
        <w:t xml:space="preserve">GA-binding protein alpha chain; Transcription factor capable of interacting with purine rich repeats (GA repeats). Necessary for the expression of the Adenovirus E4 gene; Belongs to the ETS family. [PMID: 33179750]</w:t>
      </w:r>
    </w:p>
    <w:p>
      <w:pPr>
        <w:numPr>
          <w:ilvl w:val="0"/>
          <w:numId w:val="1004"/>
        </w:numPr>
        <w:pStyle w:val="Compact"/>
      </w:pPr>
      <w:r>
        <w:rPr>
          <w:bCs/>
          <w:b/>
        </w:rPr>
        <w:t xml:space="preserve">ESRRG</w:t>
      </w:r>
      <w:r>
        <w:t xml:space="preserve"> </w:t>
      </w:r>
      <w:r>
        <w:t xml:space="preserve">Estrogen-related receptor gamma; Orphan receptor that acts as transcription activator in the absence of bound ligand. Binds specifically to an estrogen response element and activates reporter genes controlled by estrogen response elements (By similarity). Induces the expression of PERM1 in the skeletal muscle. [PMID: 33179750]</w:t>
      </w:r>
    </w:p>
    <w:p>
      <w:pPr>
        <w:numPr>
          <w:ilvl w:val="0"/>
          <w:numId w:val="1004"/>
        </w:numPr>
        <w:pStyle w:val="Compact"/>
      </w:pPr>
      <w:r>
        <w:rPr>
          <w:bCs/>
          <w:b/>
        </w:rPr>
        <w:t xml:space="preserve">ESRRB</w:t>
      </w:r>
      <w:r>
        <w:t xml:space="preserve"> </w:t>
      </w:r>
      <w:r>
        <w:t xml:space="preserve">Steroid hormone receptor ERR2; [Isoform 3]: Transcription factor that binds a canonical ESRRB recognition (ERRE) sequence 5’TCAAGGTCA-3’ localized on promoter and enhancer of targets genes regulating their expression or their transcription activity. Plays a role, in a LIF-independent manner, in maintainance of self-renewal and pluripotency of embryonic and trophoblast stem cells through different signaling pathways including FGF signaling pathway and Wnt signaling pathways. [PMID: 33179750]</w:t>
      </w:r>
    </w:p>
    <w:p>
      <w:pPr>
        <w:numPr>
          <w:ilvl w:val="0"/>
          <w:numId w:val="1004"/>
        </w:numPr>
        <w:pStyle w:val="Compact"/>
      </w:pPr>
      <w:r>
        <w:rPr>
          <w:bCs/>
          <w:b/>
        </w:rPr>
        <w:t xml:space="preserve">ESRRA</w:t>
      </w:r>
      <w:r>
        <w:t xml:space="preserve"> </w:t>
      </w:r>
      <w:r>
        <w:t xml:space="preserve">Steroid hormone receptor ERR1; Binds to an ERR-alpha response element (ERRE) containing a single consensus half-site, 5’-TNAAGGTCA-3’. Can bind to the medium- chain acyl coenzyme A dehydrogenase (MCAD) response element NRRE-1 and may act as an important regulator of MCAD promoter. Binds to the C1 region of the lactoferrin gene promoter. Requires dimerization and the coactivator, PGC-1A, for full activity. The ERRalpha/PGC1alpha complex is a regulator of energy metabolism. Induces the expression of PERM1 in the skeletal muscle. [PMID: 33179750]</w:t>
      </w:r>
    </w:p>
    <w:p>
      <w:pPr>
        <w:numPr>
          <w:ilvl w:val="0"/>
          <w:numId w:val="1004"/>
        </w:numPr>
        <w:pStyle w:val="Compact"/>
      </w:pPr>
      <w:r>
        <w:rPr>
          <w:bCs/>
          <w:b/>
        </w:rPr>
        <w:t xml:space="preserve">ELK1</w:t>
      </w:r>
      <w:r>
        <w:t xml:space="preserve"> </w:t>
      </w:r>
      <w:r>
        <w:t xml:space="preserve">ETS domain-containing protein Elk-1; Transcription factor that binds to purine-rich DNA sequences. Forms a ternary complex with SRF and the ETS and SRF motifs of the serum response element (SRE) on the promoter region of immediate early genes such as FOS and IER2. Induces target gene transcription upon JNK- signaling pathway stimulation (By similarity). [PMID: 33179750]</w:t>
      </w:r>
    </w:p>
    <w:p>
      <w:pPr>
        <w:numPr>
          <w:ilvl w:val="0"/>
          <w:numId w:val="1004"/>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4"/>
        </w:numPr>
        <w:pStyle w:val="Compact"/>
      </w:pPr>
      <w:r>
        <w:rPr>
          <w:bCs/>
          <w:b/>
        </w:rPr>
        <w:t xml:space="preserve">CXCL17</w:t>
      </w:r>
      <w:r>
        <w:t xml:space="preserve"> </w:t>
      </w:r>
      <w:r>
        <w:t xml:space="preserve">C-X-C motif chemokine 17; Chemokine that acts as chemoattractant for monocytes, macrophages and dendritic cells. Plays a role in angiogenesis and possibly in the development of tumors. Acts as an anti-inflammatory in the stomach. May play a role in the innate defense against infections. Activates the C-X-C chemokine receptor GPR35 to induce a rapid and transient rise in the level of intracellular calcium ions. Belongs to the intercrine alpha (chemokine CxC) family. [PMID: 28381538]</w:t>
      </w:r>
    </w:p>
    <w:p>
      <w:pPr>
        <w:numPr>
          <w:ilvl w:val="0"/>
          <w:numId w:val="1004"/>
        </w:numPr>
        <w:pStyle w:val="Compact"/>
      </w:pPr>
      <w:r>
        <w:rPr>
          <w:bCs/>
          <w:b/>
        </w:rPr>
        <w:t xml:space="preserve">CXCL12</w:t>
      </w:r>
      <w:r>
        <w:t xml:space="preserve"> </w:t>
      </w:r>
      <w:r>
        <w:t xml:space="preserve">Stromal cell-derived factor 1; Chemoattractant active on T-lymphocytes and monocytes but not neutrophils. Activates the C-X-C chemokine receptor CXCR4 to induce a rapid and transient rise in the level of intracellular calcium ions and chemotaxis. SDF-1-beta(3-72) and SDF-1-alpha(3-67) show a reduced chemotactic activity. Binding to cell surface proteoglycans seems to inhibit formation of SDF-1-alpha(3-67) and thus to preserve activity on local sites. Also binds to atypical chemokine receptor ACKR3, which activates the beta-arrestin pathway and acts as a scavenger receptor for SDF-1. [PMID: 28381538]</w:t>
      </w:r>
    </w:p>
    <w:p>
      <w:pPr>
        <w:numPr>
          <w:ilvl w:val="0"/>
          <w:numId w:val="1004"/>
        </w:numPr>
        <w:pStyle w:val="Compact"/>
      </w:pPr>
      <w:r>
        <w:rPr>
          <w:bCs/>
          <w:b/>
        </w:rPr>
        <w:t xml:space="preserve">CXCL11</w:t>
      </w:r>
      <w:r>
        <w:t xml:space="preserve"> </w:t>
      </w:r>
      <w:r>
        <w:t xml:space="preserve">C-X-C motif chemokine 11; Chemotactic for interleukin-activated T-cells but not unstimulated T-cells, neutrophils or monocytes. Induces calcium release in activated T-cells. Binds to CXCR3. May play an important role in CNS diseases which involve T-cell recruitment. May play a role in skin immune responses; Belongs to the intercrine alpha (chemokine CxC) family. [PMID: 28381538]</w:t>
      </w:r>
    </w:p>
    <w:p>
      <w:pPr>
        <w:numPr>
          <w:ilvl w:val="0"/>
          <w:numId w:val="1004"/>
        </w:numPr>
        <w:pStyle w:val="Compact"/>
      </w:pPr>
      <w:r>
        <w:rPr>
          <w:bCs/>
          <w:b/>
        </w:rPr>
        <w:t xml:space="preserve">CTSD</w:t>
      </w:r>
      <w:r>
        <w:t xml:space="preserve"> </w:t>
      </w:r>
      <w:r>
        <w:t xml:space="preserve">Cathepsin D heavy chain; Acid protease active in intracellular protein breakdown. Plays a role in APP processing following cleavage and activation by ADAM30 which leads to APP degradation. Involved in the pathogenesis of several diseases such as breast cancer and possibly Alzheimer disease. [PMID: 16709808]</w:t>
      </w:r>
    </w:p>
    <w:p>
      <w:pPr>
        <w:numPr>
          <w:ilvl w:val="0"/>
          <w:numId w:val="1004"/>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16709808]</w:t>
      </w:r>
    </w:p>
    <w:p>
      <w:pPr>
        <w:numPr>
          <w:ilvl w:val="0"/>
          <w:numId w:val="1004"/>
        </w:numPr>
        <w:pStyle w:val="Compact"/>
      </w:pPr>
      <w:r>
        <w:rPr>
          <w:bCs/>
          <w:b/>
        </w:rPr>
        <w:t xml:space="preserve">XCL2</w:t>
      </w:r>
      <w:r>
        <w:t xml:space="preserve"> </w:t>
      </w:r>
      <w:r>
        <w:t xml:space="preserve">Cytokine SCM-1 beta; Chemotactic activity for lymphocytes but not for monocytes or neutrophils. [PMID: 28381538]</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5">
        <w:r>
          <w:rPr>
            <w:rStyle w:val="Hyperlink"/>
          </w:rPr>
          <w:t xml:space="preserve">https://string-db.org/newstring_cgi/show_edge_details.pl?identifiers=9606.ENSP00000351671 9606.ENSP00000292301</w:t>
        </w:r>
      </w:hyperlink>
      <w:r>
        <w:t xml:space="preserve">]</w:t>
      </w:r>
    </w:p>
    <w:p>
      <w:pPr>
        <w:numPr>
          <w:ilvl w:val="0"/>
          <w:numId w:val="1005"/>
        </w:numPr>
        <w:pStyle w:val="Compact"/>
      </w:pPr>
      <w:r>
        <w:rPr>
          <w:bCs/>
          <w:b/>
        </w:rPr>
        <w:t xml:space="preserve">CCRL2</w:t>
      </w:r>
      <w:r>
        <w:t xml:space="preserve"> </w:t>
      </w:r>
      <w:r>
        <w:t xml:space="preserve">C-C chemokine receptor-like 2; Receptor for CCL19 and chemerin/RARRES2. Does not appear to be a signaling receptor, but may have a role in modulating chemokine- triggered immune responses by capturing and internalizing CCL19 or by presenting RARRES2 ligand to CMKLR1, a functional signaling receptors. Plays a critical role for the development of Th2 responses. [</w:t>
      </w:r>
      <w:hyperlink r:id="rId26">
        <w:r>
          <w:rPr>
            <w:rStyle w:val="Hyperlink"/>
          </w:rPr>
          <w:t xml:space="preserve">https://string-db.org/newstring_cgi/show_edge_details.pl?identifiers=9606.ENSP00000351671 9606.ENSP00000349967</w:t>
        </w:r>
      </w:hyperlink>
      <w:r>
        <w:t xml:space="preserve">]</w:t>
      </w:r>
    </w:p>
    <w:bookmarkEnd w:id="27"/>
    <w:bookmarkEnd w:id="28"/>
    <w:bookmarkStart w:id="47"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https://www.genecards.org/cgi-bin/carddisp.pl?gene=CCL20</w:t>
        </w:r>
      </w:hyperlink>
    </w:p>
    <w:p>
      <w:pPr>
        <w:numPr>
          <w:ilvl w:val="0"/>
          <w:numId w:val="1006"/>
        </w:numPr>
        <w:pStyle w:val="Compact"/>
      </w:pPr>
      <w:r>
        <w:t xml:space="preserve">Harmonizome (human):</w:t>
      </w:r>
      <w:r>
        <w:t xml:space="preserve"> </w:t>
      </w:r>
      <w:hyperlink r:id="rId29">
        <w:r>
          <w:rPr>
            <w:rStyle w:val="Hyperlink"/>
          </w:rPr>
          <w:t xml:space="preserve">https://maayanlab.cloud/Harmonizome/gene/CCL20</w:t>
        </w:r>
      </w:hyperlink>
    </w:p>
    <w:p>
      <w:pPr>
        <w:numPr>
          <w:ilvl w:val="0"/>
          <w:numId w:val="1006"/>
        </w:numPr>
        <w:pStyle w:val="Compact"/>
      </w:pPr>
      <w:r>
        <w:t xml:space="preserve">NCBI (human):</w:t>
      </w:r>
      <w:r>
        <w:t xml:space="preserve"> </w:t>
      </w:r>
      <w:hyperlink r:id="rId30">
        <w:r>
          <w:rPr>
            <w:rStyle w:val="Hyperlink"/>
          </w:rPr>
          <w:t xml:space="preserve">https://www.ncbi.nlm.nih.gov/gene/6364</w:t>
        </w:r>
      </w:hyperlink>
    </w:p>
    <w:p>
      <w:pPr>
        <w:numPr>
          <w:ilvl w:val="0"/>
          <w:numId w:val="1006"/>
        </w:numPr>
        <w:pStyle w:val="Compact"/>
      </w:pPr>
      <w:r>
        <w:t xml:space="preserve">NCBI (rat):</w:t>
      </w:r>
      <w:r>
        <w:t xml:space="preserve"> </w:t>
      </w:r>
      <w:hyperlink r:id="rId31">
        <w:r>
          <w:rPr>
            <w:rStyle w:val="Hyperlink"/>
          </w:rPr>
          <w:t xml:space="preserve">https://www.ncbi.nlm.nih.gov/gene/29538</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https://useast.ensembl.org/Homo_sapiens/Gene/Summary?g=ENSG00000115009</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https://useast.ensembl.org/Rattus_norvegicus/Gene/Summary?g=ENSRNOG00000015992</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https://rgd.mcw.edu/rgdweb/report/gene/main.html?id=3646</w:t>
        </w:r>
      </w:hyperlink>
    </w:p>
    <w:p>
      <w:pPr>
        <w:numPr>
          <w:ilvl w:val="0"/>
          <w:numId w:val="1006"/>
        </w:numPr>
        <w:pStyle w:val="Compact"/>
      </w:pPr>
      <w:r>
        <w:t xml:space="preserve">Uniprot (human):</w:t>
      </w:r>
      <w:r>
        <w:t xml:space="preserve"> </w:t>
      </w:r>
      <w:hyperlink r:id="rId35">
        <w:r>
          <w:rPr>
            <w:rStyle w:val="Hyperlink"/>
          </w:rPr>
          <w:t xml:space="preserve">https://www.uniprot.org/uniprotkb/P78556</w:t>
        </w:r>
      </w:hyperlink>
    </w:p>
    <w:p>
      <w:pPr>
        <w:numPr>
          <w:ilvl w:val="0"/>
          <w:numId w:val="1006"/>
        </w:numPr>
        <w:pStyle w:val="Compact"/>
      </w:pPr>
      <w:r>
        <w:t xml:space="preserve">Uniprot (rat):</w:t>
      </w:r>
      <w:r>
        <w:t xml:space="preserve"> </w:t>
      </w:r>
      <w:hyperlink r:id="rId36">
        <w:r>
          <w:rPr>
            <w:rStyle w:val="Hyperlink"/>
          </w:rPr>
          <w:t xml:space="preserve">https://www.uniprot.org/uniprotkb/P97884</w:t>
        </w:r>
      </w:hyperlink>
    </w:p>
    <w:p>
      <w:pPr>
        <w:numPr>
          <w:ilvl w:val="0"/>
          <w:numId w:val="1006"/>
        </w:numPr>
        <w:pStyle w:val="Compact"/>
      </w:pPr>
      <w:r>
        <w:t xml:space="preserve">Wikigenes (human):</w:t>
      </w:r>
      <w:r>
        <w:t xml:space="preserve"> </w:t>
      </w:r>
      <w:hyperlink r:id="rId37">
        <w:r>
          <w:rPr>
            <w:rStyle w:val="Hyperlink"/>
          </w:rPr>
          <w:t xml:space="preserve">https://www.wikigenes.org/e/gene/e/6364.html</w:t>
        </w:r>
      </w:hyperlink>
    </w:p>
    <w:p>
      <w:pPr>
        <w:numPr>
          <w:ilvl w:val="0"/>
          <w:numId w:val="1006"/>
        </w:numPr>
        <w:pStyle w:val="Compact"/>
      </w:pPr>
      <w:r>
        <w:t xml:space="preserve">Wikigenes (rat):</w:t>
      </w:r>
      <w:r>
        <w:t xml:space="preserve"> </w:t>
      </w:r>
      <w:hyperlink r:id="rId38">
        <w:r>
          <w:rPr>
            <w:rStyle w:val="Hyperlink"/>
          </w:rPr>
          <w:t xml:space="preserve">https://www.wikigenes.org/e/gene/e/29538.html</w:t>
        </w:r>
      </w:hyperlink>
    </w:p>
    <w:p>
      <w:pPr>
        <w:numPr>
          <w:ilvl w:val="0"/>
          <w:numId w:val="1006"/>
        </w:numPr>
        <w:pStyle w:val="Compact"/>
      </w:pPr>
      <w:r>
        <w:t xml:space="preserve">Alphafold (human):</w:t>
      </w:r>
      <w:r>
        <w:t xml:space="preserve"> </w:t>
      </w:r>
      <w:hyperlink r:id="rId39">
        <w:r>
          <w:rPr>
            <w:rStyle w:val="Hyperlink"/>
          </w:rPr>
          <w:t xml:space="preserve">https://alphafold.ebi.ac.uk/entry/P78556</w:t>
        </w:r>
      </w:hyperlink>
    </w:p>
    <w:p>
      <w:pPr>
        <w:numPr>
          <w:ilvl w:val="0"/>
          <w:numId w:val="1006"/>
        </w:numPr>
        <w:pStyle w:val="Compact"/>
      </w:pPr>
      <w:r>
        <w:t xml:space="preserve">Alphafold (rat):</w:t>
      </w:r>
      <w:r>
        <w:t xml:space="preserve"> </w:t>
      </w:r>
      <w:hyperlink r:id="rId40">
        <w:r>
          <w:rPr>
            <w:rStyle w:val="Hyperlink"/>
          </w:rPr>
          <w:t xml:space="preserve">https://alphafold.ebi.ac.uk/entry/P97884</w:t>
        </w:r>
      </w:hyperlink>
    </w:p>
    <w:p>
      <w:pPr>
        <w:numPr>
          <w:ilvl w:val="0"/>
          <w:numId w:val="1006"/>
        </w:numPr>
        <w:pStyle w:val="Compact"/>
      </w:pPr>
      <w:r>
        <w:t xml:space="preserve">PDB (human):</w:t>
      </w:r>
      <w:r>
        <w:t xml:space="preserve"> </w:t>
      </w:r>
      <w:hyperlink r:id="rId41">
        <w:r>
          <w:rPr>
            <w:rStyle w:val="Hyperlink"/>
          </w:rPr>
          <w:t xml:space="preserve">https://www.rcsb.org/structure/1M8A</w:t>
        </w:r>
      </w:hyperlink>
      <w:r>
        <w:t xml:space="preserve">,</w:t>
      </w:r>
      <w:r>
        <w:t xml:space="preserve"> </w:t>
      </w:r>
      <w:hyperlink r:id="rId42">
        <w:r>
          <w:rPr>
            <w:rStyle w:val="Hyperlink"/>
          </w:rPr>
          <w:t xml:space="preserve">https://www.rcsb.org/structure/2HCI</w:t>
        </w:r>
      </w:hyperlink>
      <w:r>
        <w:t xml:space="preserve">,</w:t>
      </w:r>
      <w:r>
        <w:t xml:space="preserve"> </w:t>
      </w:r>
      <w:hyperlink r:id="rId43">
        <w:r>
          <w:rPr>
            <w:rStyle w:val="Hyperlink"/>
          </w:rPr>
          <w:t xml:space="preserve">https://www.rcsb.org/structure/2JYO</w:t>
        </w:r>
      </w:hyperlink>
      <w:r>
        <w:t xml:space="preserve">,</w:t>
      </w:r>
      <w:r>
        <w:t xml:space="preserve"> </w:t>
      </w:r>
      <w:hyperlink r:id="rId44">
        <w:r>
          <w:rPr>
            <w:rStyle w:val="Hyperlink"/>
          </w:rPr>
          <w:t xml:space="preserve">https://www.rcsb.org/structure/6WWZ</w:t>
        </w:r>
      </w:hyperlink>
      <w:r>
        <w:t xml:space="preserve">,</w:t>
      </w:r>
      <w:r>
        <w:t xml:space="preserve"> </w:t>
      </w:r>
      <w:hyperlink r:id="rId45">
        <w:r>
          <w:rPr>
            <w:rStyle w:val="Hyperlink"/>
          </w:rPr>
          <w:t xml:space="preserve">https://www.rcsb.org/structure/7T1E</w:t>
        </w:r>
      </w:hyperlink>
    </w:p>
    <w:p>
      <w:pPr>
        <w:numPr>
          <w:ilvl w:val="0"/>
          <w:numId w:val="1006"/>
        </w:numPr>
        <w:pStyle w:val="Compact"/>
      </w:pPr>
      <w:r>
        <w:t xml:space="preserve">PDB (mouse):</w:t>
      </w:r>
      <w:r>
        <w:t xml:space="preserve"> </w:t>
      </w:r>
      <w:hyperlink r:id="rId46">
        <w:r>
          <w:rPr>
            <w:rStyle w:val="Hyperlink"/>
          </w:rPr>
          <w:t xml:space="preserve">https://www.rcsb.org/structure/1HA6</w:t>
        </w:r>
      </w:hyperlink>
    </w:p>
    <w:p>
      <w:pPr>
        <w:numPr>
          <w:ilvl w:val="0"/>
          <w:numId w:val="1006"/>
        </w:numPr>
        <w:pStyle w:val="Compact"/>
      </w:pPr>
      <w:r>
        <w:t xml:space="preserve">PDB (rat): none</w:t>
      </w:r>
    </w:p>
    <w:bookmarkEnd w:id="47"/>
    <w:bookmarkStart w:id="61" w:name="X7887dc63a354b4d974b09bbc1761dfdcf7e455e"/>
    <w:p>
      <w:pPr>
        <w:pStyle w:val="Heading1"/>
      </w:pPr>
      <w:r>
        <w:t xml:space="preserve">6. GO Terms, MSigDB Signatures, Pathways Containing Gene with Descriptions of Gene Sets</w:t>
      </w:r>
    </w:p>
    <w:bookmarkStart w:id="51" w:name="pathways"/>
    <w:p>
      <w:pPr>
        <w:pStyle w:val="Heading2"/>
      </w:pPr>
      <w:r>
        <w:t xml:space="preserve">Pathways:</w:t>
      </w:r>
    </w:p>
    <w:p>
      <w:pPr>
        <w:pStyle w:val="FirstParagraph"/>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w:t>
      </w:r>
      <w:r>
        <w:t xml:space="preserve"> </w:t>
      </w:r>
      <w:hyperlink r:id="rId48">
        <w:r>
          <w:rPr>
            <w:rStyle w:val="Hyperlink"/>
          </w:rPr>
          <w:t xml:space="preserve">[https://reactome.org/PathwayBrowser/#/R-HSA-380108]</w:t>
        </w:r>
      </w:hyperlink>
    </w:p>
    <w:p>
      <w:pPr>
        <w:pStyle w:val="BodyText"/>
      </w:pPr>
      <w:r>
        <w:rPr>
          <w:bCs/>
          <w:b/>
        </w:rPr>
        <w:t xml:space="preserve">G alpha (i) signalling events</w:t>
      </w:r>
      <w:r>
        <w:t xml:space="preserve">: 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w:t>
      </w:r>
      <w:r>
        <w:t xml:space="preserve"> </w:t>
      </w:r>
      <w:hyperlink r:id="rId49">
        <w:r>
          <w:rPr>
            <w:rStyle w:val="Hyperlink"/>
          </w:rPr>
          <w:t xml:space="preserve">[https://reactome.org/PathwayBrowser/#/R-HSA-418594]</w:t>
        </w:r>
      </w:hyperlink>
    </w:p>
    <w:p>
      <w:pPr>
        <w:pStyle w:val="BodyText"/>
      </w:pPr>
      <w:r>
        <w:rPr>
          <w:bCs/>
          <w:b/>
        </w:rPr>
        <w:t xml:space="preserve">Interleukin-10 signaling</w:t>
      </w:r>
      <w:r>
        <w:t xml:space="preserve">: 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r>
        <w:t xml:space="preserve"> </w:t>
      </w:r>
      <w:hyperlink r:id="rId50">
        <w:r>
          <w:rPr>
            <w:rStyle w:val="Hyperlink"/>
          </w:rPr>
          <w:t xml:space="preserve">[https://reactome.org/PathwayBrowser/#/R-HSA-6783783]</w:t>
        </w:r>
      </w:hyperlink>
    </w:p>
    <w:bookmarkEnd w:id="51"/>
    <w:bookmarkStart w:id="52" w:name="go-terms"/>
    <w:p>
      <w:pPr>
        <w:pStyle w:val="Heading2"/>
      </w:pPr>
      <w:r>
        <w:t xml:space="preserve">GO terms:</w:t>
      </w:r>
    </w:p>
    <w:p>
      <w:pPr>
        <w:pStyle w:val="FirstParagraph"/>
      </w:pPr>
      <w:r>
        <w:rPr>
          <w:bCs/>
          <w:b/>
        </w:rPr>
        <w:t xml:space="preserve">T cell migration</w:t>
      </w:r>
      <w:r>
        <w:t xml:space="preserve"> </w:t>
      </w:r>
      <w:r>
        <w:t xml:space="preserve">[The movement of a T cell within or between different tissues and organs of the body. GO:0072678]</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calcium-mediated signaling</w:t>
      </w:r>
      <w:r>
        <w:t xml:space="preserve"> </w:t>
      </w:r>
      <w:r>
        <w:t xml:space="preserve">[Any intracellular signal transduction in which the signal is passed on within the cell via calcium ions. GO:0019722]</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lipoteichoic acid</w:t>
      </w:r>
      <w:r>
        <w:t xml:space="preserve"> </w:t>
      </w:r>
      <w:r>
        <w:t xml:space="preserve">[Any process that results in a change in state or activity of a cell (in terms of movement, secretion, enzyme production, gene expression, etc.) as a result of a lipoteichoic acid stimulus; lipoteichoic acid is a major component of the cell wall of gram-positive bacteria and typically consists of a chain of glycerol-phosphate repeating units linked to a glycolipid anchor. GO:0071223]</w:t>
      </w:r>
    </w:p>
    <w:p>
      <w:pPr>
        <w:pStyle w:val="BodyText"/>
      </w:pPr>
      <w:r>
        <w:rPr>
          <w:bCs/>
          <w:b/>
        </w:rPr>
        <w:t xml:space="preserve">chemotaxis</w:t>
      </w:r>
      <w:r>
        <w:t xml:space="preserve"> </w:t>
      </w:r>
      <w:r>
        <w:t xml:space="preserve">[The directed movement of a motile cell or organism, or the directed growth of a cell guided by a specific chemical concentration gradient. Movement may be towards a higher concentration (positive chemotaxis) or towards a lower concentration (negative chemotaxis). GO:0006935]</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positive regulation of T cell migration</w:t>
      </w:r>
      <w:r>
        <w:t xml:space="preserve"> </w:t>
      </w:r>
      <w:r>
        <w:t xml:space="preserve">[Any process that activates or increases the frequency, rate or extent of T cell migration. GO:2000406]</w:t>
      </w:r>
    </w:p>
    <w:p>
      <w:pPr>
        <w:pStyle w:val="BodyText"/>
      </w:pPr>
      <w:r>
        <w:rPr>
          <w:bCs/>
          <w:b/>
        </w:rPr>
        <w:t xml:space="preserve">positive regulation of interleukin-1 alpha production</w:t>
      </w:r>
      <w:r>
        <w:t xml:space="preserve"> </w:t>
      </w:r>
      <w:r>
        <w:t xml:space="preserve">[Any process that activates or increases the frequency, rate, or extent of interleukin-1 alpha production. GO:0032730]</w:t>
      </w:r>
    </w:p>
    <w:p>
      <w:pPr>
        <w:pStyle w:val="BodyText"/>
      </w:pPr>
      <w:r>
        <w:rPr>
          <w:bCs/>
          <w:b/>
        </w:rPr>
        <w:t xml:space="preserve">regulation of T cell cytokine production</w:t>
      </w:r>
      <w:r>
        <w:t xml:space="preserve"> </w:t>
      </w:r>
      <w:r>
        <w:t xml:space="preserve">[Any process that modulates the frequency, rate, or extent of T cell cytokine production. GO:0002724]</w:t>
      </w:r>
    </w:p>
    <w:p>
      <w:pPr>
        <w:pStyle w:val="BodyText"/>
      </w:pPr>
      <w:r>
        <w:rPr>
          <w:bCs/>
          <w:b/>
        </w:rPr>
        <w:t xml:space="preserve">regulation of T-helper 17 cell differentiation</w:t>
      </w:r>
      <w:r>
        <w:t xml:space="preserve"> </w:t>
      </w:r>
      <w:r>
        <w:t xml:space="preserve">[Any process that modulates the frequency, rate or extent of T-helper 17 cell differentiation. GO:2000319]</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thymocyte migration</w:t>
      </w:r>
      <w:r>
        <w:t xml:space="preserve"> </w:t>
      </w:r>
      <w:r>
        <w:t xml:space="preserve">[The movement of a thymocyte through distinct intrathymic niches (e.g. medulla, cortex), where it receives a unique set of developmental cues required for T-cell development. GO:0072679]</w:t>
      </w:r>
    </w:p>
    <w:bookmarkEnd w:id="52"/>
    <w:bookmarkStart w:id="60" w:name="msigdb-signatures"/>
    <w:p>
      <w:pPr>
        <w:pStyle w:val="Heading2"/>
      </w:pPr>
      <w:r>
        <w:t xml:space="preserve">MSigDB Signatures:</w:t>
      </w:r>
    </w:p>
    <w:p>
      <w:pPr>
        <w:pStyle w:val="FirstParagraph"/>
      </w:pPr>
      <w:r>
        <w:rPr>
          <w:bCs/>
          <w:b/>
        </w:rPr>
        <w:t xml:space="preserve">REACTOME_SIGNALING_BY_GPCR</w:t>
      </w:r>
      <w:r>
        <w:t xml:space="preserve">: Signaling by GPCR</w:t>
      </w:r>
      <w:r>
        <w:t xml:space="preserve"> </w:t>
      </w:r>
      <w:hyperlink r:id="rId53">
        <w:r>
          <w:rPr>
            <w:rStyle w:val="Hyperlink"/>
          </w:rPr>
          <w:t xml:space="preserve">[https://www.gsea-msigdb.org/gsea/msigdb/human/geneset/REACTOME_SIGNALING_BY_GPCR.html]</w:t>
        </w:r>
      </w:hyperlink>
    </w:p>
    <w:p>
      <w:pPr>
        <w:pStyle w:val="BodyText"/>
      </w:pPr>
      <w:r>
        <w:rPr>
          <w:bCs/>
          <w:b/>
        </w:rPr>
        <w:t xml:space="preserve">NAKAMURA_TUMOR_ZONE_PERIPHERAL_VS_CENTRAL_DN</w:t>
      </w:r>
      <w:r>
        <w:t xml:space="preserve">: Down-regulated genes in peripheral zone of human pancreatic cancer growing in the pancreas of nude mice compared to that of the tumor from the central zone.</w:t>
      </w:r>
      <w:r>
        <w:t xml:space="preserve"> </w:t>
      </w:r>
      <w:hyperlink r:id="rId54">
        <w:r>
          <w:rPr>
            <w:rStyle w:val="Hyperlink"/>
          </w:rPr>
          <w:t xml:space="preserve">[https://www.gsea-msigdb.org/gsea/msigdb/human/geneset/NAKAMURA_TUMOR_ZONE_PERIPHERAL_VS_CENTRAL_DN.html]</w:t>
        </w:r>
      </w:hyperlink>
    </w:p>
    <w:p>
      <w:pPr>
        <w:pStyle w:val="BodyText"/>
      </w:pPr>
      <w:r>
        <w:rPr>
          <w:bCs/>
          <w:b/>
        </w:rPr>
        <w:t xml:space="preserve">WP_NUCLEAR_RECEPTORS_METAPATHWAY</w:t>
      </w:r>
      <w:r>
        <w:t xml:space="preserve">: Nuclear receptors meta-pathway</w:t>
      </w:r>
      <w:r>
        <w:t xml:space="preserve"> </w:t>
      </w:r>
      <w:hyperlink r:id="rId55">
        <w:r>
          <w:rPr>
            <w:rStyle w:val="Hyperlink"/>
          </w:rPr>
          <w:t xml:space="preserve">[https://www.gsea-msigdb.org/gsea/msigdb/human/geneset/WP_NUCLEAR_RECEPTORS_METAPATHWAY.html]</w:t>
        </w:r>
      </w:hyperlink>
    </w:p>
    <w:p>
      <w:pPr>
        <w:pStyle w:val="BodyText"/>
      </w:pPr>
      <w:r>
        <w:rPr>
          <w:bCs/>
          <w:b/>
        </w:rPr>
        <w:t xml:space="preserve">YAN_ESCAPE_FROM_ANOIKIS</w:t>
      </w:r>
      <w:r>
        <w:t xml:space="preserve">: Genes up-regulated in IEC-18 cells (intestinal epithelial cells) which avoided anoikis (a form of apoptosis) after detachment.</w:t>
      </w:r>
      <w:r>
        <w:t xml:space="preserve"> </w:t>
      </w:r>
      <w:hyperlink r:id="rId56">
        <w:r>
          <w:rPr>
            <w:rStyle w:val="Hyperlink"/>
          </w:rPr>
          <w:t xml:space="preserve">[https://www.gsea-msigdb.org/gsea/msigdb/human/geneset/YAN_ESCAPE_FROM_ANOIKIS.html]</w:t>
        </w:r>
      </w:hyperlink>
    </w:p>
    <w:p>
      <w:pPr>
        <w:pStyle w:val="BodyText"/>
      </w:pPr>
      <w:r>
        <w:rPr>
          <w:bCs/>
          <w:b/>
        </w:rPr>
        <w:t xml:space="preserve">REACTOME_CLASS_A_1_RHODOPSIN_LIKE_RECEPTORS</w:t>
      </w:r>
      <w:r>
        <w:t xml:space="preserve">: Class A/1 (Rhodopsin-like receptors)</w:t>
      </w:r>
      <w:r>
        <w:t xml:space="preserve"> </w:t>
      </w:r>
      <w:hyperlink r:id="rId57">
        <w:r>
          <w:rPr>
            <w:rStyle w:val="Hyperlink"/>
          </w:rPr>
          <w:t xml:space="preserve">[https://www.gsea-msigdb.org/gsea/msigdb/human/geneset/REACTOME_CLASS_A_1_RHODOPSIN_LIKE_RECEPTORS.html]</w:t>
        </w:r>
      </w:hyperlink>
    </w:p>
    <w:p>
      <w:pPr>
        <w:pStyle w:val="BodyText"/>
      </w:pPr>
      <w:r>
        <w:rPr>
          <w:bCs/>
          <w:b/>
        </w:rPr>
        <w:t xml:space="preserve">WP_EBSTEINBARR_VIRUS_LMP1_SIGNALING</w:t>
      </w:r>
      <w:r>
        <w:t xml:space="preserve">: Ebstein-Barr virus LMP1 signaling</w:t>
      </w:r>
      <w:r>
        <w:t xml:space="preserve"> </w:t>
      </w:r>
      <w:hyperlink r:id="rId58">
        <w:r>
          <w:rPr>
            <w:rStyle w:val="Hyperlink"/>
          </w:rPr>
          <w:t xml:space="preserve">[https://www.gsea-msigdb.org/gsea/msigdb/human/geneset/WP_EBSTEINBARR_VIRUS_LMP1_SIGNALING.html]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9">
        <w:r>
          <w:rPr>
            <w:rStyle w:val="Hyperlink"/>
          </w:rPr>
          <w:t xml:space="preserve">[https://www.gsea-msigdb.org/gsea/msigdb/human/geneset/NABA_MATRISOME_ASSOCIATED.html]</w:t>
        </w:r>
      </w:hyperlink>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This antimicrobial gene belongs to the subfamily of small cytokine CC genes. Cytokines are a family of secreted proteins involved in immunoregulatory and inflammatory processes. The CC cytokines are proteins characterized by two adjacent cysteines. The protein encoded by this gene displays chemotactic activity for lymphocytes and can repress proliferation of myeloid progenitors. Two transcript variants encoding different isoforms have been found for this gene. [provided by RefSeq, Sep 2014]</w:t>
      </w:r>
    </w:p>
    <w:p>
      <w:pPr>
        <w:pStyle w:val="BodyText"/>
      </w:pPr>
      <w:r>
        <w:rPr>
          <w:bCs/>
          <w:b/>
        </w:rPr>
        <w:t xml:space="preserve">GeneCards Summary</w:t>
      </w:r>
      <w:r>
        <w:t xml:space="preserve">: CCL20 (C-C Motif Chemokine Ligand 20) is a Protein Coding gene. Diseases associated with CCL20 include Sialadenitis and Psoriasis. Among its related pathways are MIF Mediated Glucocorticoid Regulation and TGF-Beta Pathway. Gene Ontology (GO) annotations related to this gene include cytokine activity and chemokine activity. An important paralog of this gene is CCL21.</w:t>
      </w:r>
    </w:p>
    <w:p>
      <w:pPr>
        <w:pStyle w:val="BodyText"/>
      </w:pPr>
      <w:r>
        <w:rPr>
          <w:bCs/>
          <w:b/>
        </w:rPr>
        <w:t xml:space="preserve">UniProtKB/Swiss-Prot Summary</w:t>
      </w:r>
      <w:r>
        <w:t xml:space="preserve">: Acts as a ligand for C-C chemokine receptor CCR6. Signals through binding and activation of CCR6 and induces a strong chemotactic response and mobilization of intracellular calcium ions [PMID: 11035086, PMID: 11352563, PMID: 20068036]. The ligand-receptor pair CCL20-CCR6 is responsible for the chemotaxis of dendritic cells (DC), effector/memory T-cells and B-cells and plays an important role at skin and mucosal surfaces under homeostatic and inflammatory conditions, as well as in pathology, including cancer and various autoimmune diseases [PMID: 21376174]. CCL20 acts as a chemotactic factor that attracts lymphocytes and, slightly, neutrophils, but not monocytes [PMID: 11352563, PMID: 9038201]. Involved in the recruitment of both the pro-inflammatory IL17 producing helper T-cells (Th17) and the regulatory T-cells (Treg) to sites of inflammation. Required for optimal migration of thymic natural regulatory T cells (nTregs) and DN1 early thymocyte progenitor cells. C-terminal processed forms have been shown to be equally chemotactically active for leukocytes [PMID: 11035086]. Positively regulates sperm motility and chemotaxis via its binding to CCR6 which triggers Ca2+ mobilization in the sperm which is important for its motility [PMID: 23765988, PMID: 25122636]. Inhibits proliferation of myeloid progenitors in colony formation assays [PMID: 9129037]. May be involved in formation and function of the mucosal lymphoid tissues by attracting lymphocytes and dendritic cells towards epithelial cells. Possesses antibacterial activity towards E.coli ATCC 25922 and S.aureus ATCC 29213 [PMID: 12149255].</w:t>
      </w:r>
    </w:p>
    <w:bookmarkEnd w:id="62"/>
    <w:bookmarkStart w:id="64" w:name="cellular-location-of-gene-product"/>
    <w:p>
      <w:pPr>
        <w:pStyle w:val="Heading1"/>
      </w:pPr>
      <w:r>
        <w:t xml:space="preserve">8. Cellular Location of Gene Product</w:t>
      </w:r>
    </w:p>
    <w:p>
      <w:pPr>
        <w:pStyle w:val="FirstParagraph"/>
      </w:pPr>
      <w:r>
        <w:t xml:space="preserve">Predicted location: Secreted [</w:t>
      </w:r>
      <w:hyperlink r:id="rId63">
        <w:r>
          <w:rPr>
            <w:rStyle w:val="Hyperlink"/>
          </w:rPr>
          <w:t xml:space="preserve">https://www.proteinatlas.org/ENSG00000115009/subcellular</w:t>
        </w:r>
      </w:hyperlink>
      <w:r>
        <w:t xml:space="preserve">]</w:t>
      </w:r>
    </w:p>
    <w:bookmarkEnd w:id="64"/>
    <w:bookmarkStart w:id="66" w:name="mechanistic-information"/>
    <w:p>
      <w:pPr>
        <w:pStyle w:val="Heading1"/>
      </w:pPr>
      <w:r>
        <w:t xml:space="preserve">9. Mechanistic Information</w:t>
      </w:r>
    </w:p>
    <w:p>
      <w:pPr>
        <w:numPr>
          <w:ilvl w:val="0"/>
          <w:numId w:val="1007"/>
        </w:numPr>
        <w:pStyle w:val="Compact"/>
      </w:pPr>
      <w:r>
        <w:t xml:space="preserve">The C-C motif chemokine ligand 20 regulates neuroinflammation following spinal cord injury via Th17 cell recruitment. CCL20 aggravates neuroinflammation following spinal cord injury (SCI) via regulation of Th17 cell recruitment and IL-17A level [PMID: 27334337].</w:t>
      </w:r>
    </w:p>
    <w:p>
      <w:pPr>
        <w:numPr>
          <w:ilvl w:val="0"/>
          <w:numId w:val="1007"/>
        </w:numPr>
        <w:pStyle w:val="Compact"/>
      </w:pPr>
      <w:r>
        <w:t xml:space="preserve">Chemokine ligand 20 (CCL20) was identified as a direct target gene of Engrailed-2 (EN2) in in colorectal cancer (CRC). EN2 was upregulated in CRC tissues and acted as an oncogene that was associated with poorer survival rate. CCL20 expression was positively correlated with EN2 expression in CRC tissues. EN2 promoted the proliferation and migration of CRC cells by regulating the expression of CCL20 [PMID: 32732864].</w:t>
      </w:r>
    </w:p>
    <w:bookmarkStart w:id="65" w:name="summary"/>
    <w:p>
      <w:pPr>
        <w:pStyle w:val="Heading2"/>
      </w:pPr>
      <w:r>
        <w:t xml:space="preserve">Summary</w:t>
      </w:r>
    </w:p>
    <w:p>
      <w:pPr>
        <w:pStyle w:val="FirstParagraph"/>
      </w:pPr>
      <w:r>
        <w:t xml:space="preserve">CCL20 is a chemokine that functions as a ligand for CCR6 receptor, inducing chemotaxis of immune cells including dendritic cells, memory T-cells, and B-cells [CS: 9]. Through CCR6 binding, CCL20 triggers calcium mobilization and exhibits antibacterial activity against E. coli and S. aureus [CS: 7]. The protein plays a crucial role in immune cell recruitment at skin and mucosal surfaces during both homeostatic and inflammatory conditions [CS: 9].</w:t>
      </w:r>
    </w:p>
    <w:p>
      <w:pPr>
        <w:pStyle w:val="BodyText"/>
      </w:pPr>
      <w:r>
        <w:t xml:space="preserve">In the context of peripheral nerve injury, the dysregulation of Ccl20 expression can occur as an adaptive mechanism to modulate the extent of inflammation [CS: 5]. Upregulation of Ccl20 may initially serve as a compensatory mechanism to recruit Th17 cells, enhance inflammation, and facilitate debris clearance and infection management [CS: 6]. However, prolonged or excessive upregulation could lead to chronic inflammation and neurodegenerative outcomes [CS: 6]. Conversely, downregulation of Ccl20 expression might be a result of regulatory feedback from anti-inflammatory cytokines or inhibitory neural signals aiming to dampen excessive immune responses [CS: 7].</w:t>
      </w:r>
    </w:p>
    <w:bookmarkEnd w:id="65"/>
    <w:bookmarkEnd w:id="66"/>
    <w:bookmarkStart w:id="67" w:name="upstream-regulators"/>
    <w:p>
      <w:pPr>
        <w:pStyle w:val="Heading1"/>
      </w:pPr>
      <w:r>
        <w:t xml:space="preserve">10. Upstream Regulators</w:t>
      </w:r>
    </w:p>
    <w:p>
      <w:pPr>
        <w:numPr>
          <w:ilvl w:val="0"/>
          <w:numId w:val="1008"/>
        </w:numPr>
        <w:pStyle w:val="Compact"/>
      </w:pPr>
      <w:r>
        <w:t xml:space="preserve">Chemokine ligand 20 (CCL20), a member of the C-C motif chemokine subfamily, was identified as a direct target gene of Engrailed-2 (EN2) in colorectal cancer (CRC). CCL20 expression was positively correlated with EN2 expression in CRC tissues [PMID: 32732864].</w:t>
      </w:r>
    </w:p>
    <w:p>
      <w:pPr>
        <w:numPr>
          <w:ilvl w:val="0"/>
          <w:numId w:val="1008"/>
        </w:numPr>
        <w:pStyle w:val="Compact"/>
      </w:pPr>
      <w:r>
        <w:t xml:space="preserve">MIP-3alpha/CCL20 gene and protein expression were induced by pro-inflammatory cytokines tumor necrosis factor-alpha (TNFalpha), interleukin (IL)-1beta, IL-4 and IL-13 in human bronchial epithelial cells [PMID: 12760962].</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lymphoid tissue, urinary bladder (group enriched) [</w:t>
      </w:r>
      <w:hyperlink r:id="rId68">
        <w:r>
          <w:rPr>
            <w:rStyle w:val="Hyperlink"/>
          </w:rPr>
          <w:t xml:space="preserve">https://www.proteinatlas.org/ENSG00000115009/tissue</w:t>
        </w:r>
      </w:hyperlink>
      <w:r>
        <w:t xml:space="preserve">]</w:t>
      </w:r>
    </w:p>
    <w:p>
      <w:pPr>
        <w:pStyle w:val="BodyText"/>
      </w:pPr>
      <w:r>
        <w:rPr>
          <w:bCs/>
          <w:b/>
        </w:rPr>
        <w:t xml:space="preserve">Cell type enhanced</w:t>
      </w:r>
      <w:r>
        <w:t xml:space="preserve">: basal respiratory cells, ionocytes (group enriched) [</w:t>
      </w:r>
      <w:hyperlink r:id="rId69">
        <w:r>
          <w:rPr>
            <w:rStyle w:val="Hyperlink"/>
          </w:rPr>
          <w:t xml:space="preserve">https://www.proteinatlas.org/ENSG00000115009/single+cell+type</w:t>
        </w:r>
      </w:hyperlink>
      <w:r>
        <w:t xml:space="preserve">]</w:t>
      </w:r>
    </w:p>
    <w:bookmarkEnd w:id="70"/>
    <w:bookmarkStart w:id="71" w:name="role-of-gene-in-other-tissues"/>
    <w:p>
      <w:pPr>
        <w:pStyle w:val="Heading1"/>
      </w:pPr>
      <w:r>
        <w:t xml:space="preserve">12. Role of Gene in Other Tissues</w:t>
      </w:r>
    </w:p>
    <w:p>
      <w:pPr>
        <w:numPr>
          <w:ilvl w:val="0"/>
          <w:numId w:val="1009"/>
        </w:numPr>
        <w:pStyle w:val="Compact"/>
      </w:pPr>
      <w:r>
        <w:t xml:space="preserve">CCL20 mediates lipopolysaccharide induced liver injury and is a potential driver of inflammation and fibrosis in alcoholic hepatitis [PMID: 24415562].</w:t>
      </w:r>
    </w:p>
    <w:p>
      <w:pPr>
        <w:numPr>
          <w:ilvl w:val="0"/>
          <w:numId w:val="1009"/>
        </w:numPr>
        <w:pStyle w:val="Compact"/>
      </w:pPr>
      <w:r>
        <w:t xml:space="preserve">CCL20 is known to promote progression and poor survival outcome in patients with colorectal cancer [PMID: 24657657, PMID: 32732864].</w:t>
      </w:r>
    </w:p>
    <w:p>
      <w:pPr>
        <w:numPr>
          <w:ilvl w:val="0"/>
          <w:numId w:val="1009"/>
        </w:numPr>
        <w:pStyle w:val="Compact"/>
      </w:pPr>
      <w:r>
        <w:t xml:space="preserve">Expression of CCL20, a chemokine that is important for recruiting Th17 cells, is suppressed in the lesions of atopic dermatitis [PMID: 33509657]</w:t>
      </w:r>
    </w:p>
    <w:p>
      <w:pPr>
        <w:numPr>
          <w:ilvl w:val="0"/>
          <w:numId w:val="1009"/>
        </w:numPr>
        <w:pStyle w:val="Compact"/>
      </w:pPr>
      <w:r>
        <w:t xml:space="preserve">The progression of ovarian cancer in the peritoneal cavity involves NFkappaB-mediated CCL20 as a main chemokine network, which is potentiated by CXCR2 expression. [PMID: 27723802, PMID: 31866467]</w:t>
      </w:r>
    </w:p>
    <w:p>
      <w:pPr>
        <w:numPr>
          <w:ilvl w:val="0"/>
          <w:numId w:val="1009"/>
        </w:numPr>
        <w:pStyle w:val="Compact"/>
      </w:pPr>
      <w:r>
        <w:t xml:space="preserve">CCL20 is a key biomarker of inflammatory response after intracerebral hemorrhage (ICH), providing a potential target for inflammatory intervention in ICH [PMID: 36939977].</w:t>
      </w:r>
    </w:p>
    <w:p>
      <w:pPr>
        <w:numPr>
          <w:ilvl w:val="0"/>
          <w:numId w:val="1009"/>
        </w:numPr>
        <w:pStyle w:val="Compact"/>
      </w:pPr>
      <w:r>
        <w:t xml:space="preserve">In a rat lateral fluid percussion impact (LFPI) model of traumatic brain injury (TBI), CCL20 gene expression in the spleen and thymus were upregulated. CCL20 might play a role in promoting central nervous system inflammation in response to mild TBI [PMID: 22040257].</w:t>
      </w:r>
    </w:p>
    <w:p>
      <w:pPr>
        <w:numPr>
          <w:ilvl w:val="0"/>
          <w:numId w:val="1009"/>
        </w:numPr>
        <w:pStyle w:val="Compact"/>
      </w:pPr>
      <w:r>
        <w:t xml:space="preserve">Simian immunodeficiency virus dramatically increases CCL20/MIP-3alpha expression in the lymph nodes during the early systemic burst of viral replication [PMID: 12406887].</w:t>
      </w:r>
    </w:p>
    <w:bookmarkEnd w:id="71"/>
    <w:bookmarkStart w:id="73" w:name="X6a418851aade75f9472f140bae959c91bd4b668"/>
    <w:p>
      <w:pPr>
        <w:pStyle w:val="Heading1"/>
      </w:pPr>
      <w:r>
        <w:t xml:space="preserve">13. Chemicals Known to Elicit Transcriptional Response of Biomarker in Tissue of Interest</w:t>
      </w:r>
    </w:p>
    <w:bookmarkStart w:id="72" w:name="X66bcf4a0dbd9e6b6c647a73d9cc717b8c3d6d9b"/>
    <w:p>
      <w:pPr>
        <w:pStyle w:val="Heading2"/>
      </w:pPr>
      <w:r>
        <w:t xml:space="preserve">Compounds that decrease expression of the gene:</w:t>
      </w:r>
    </w:p>
    <w:p>
      <w:pPr>
        <w:numPr>
          <w:ilvl w:val="0"/>
          <w:numId w:val="1010"/>
        </w:numPr>
        <w:pStyle w:val="Compact"/>
      </w:pPr>
      <w:r>
        <w:t xml:space="preserve">PD 0325901 [PMID: 25119042]</w:t>
      </w:r>
    </w:p>
    <w:bookmarkEnd w:id="72"/>
    <w:bookmarkEnd w:id="73"/>
    <w:bookmarkStart w:id="7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 Metastasis [PMID: 17075975, PMID: 20439195, PMID: 28560063, PMID: 28851919, PMID: 31608699]</w:t>
      </w:r>
    </w:p>
    <w:p>
      <w:pPr>
        <w:numPr>
          <w:ilvl w:val="0"/>
          <w:numId w:val="1011"/>
        </w:numPr>
        <w:pStyle w:val="Compact"/>
      </w:pPr>
      <w:r>
        <w:t xml:space="preserve">Inflammatory Bowel Diseases [PMID: 20064082, PMID: 25492478]</w:t>
      </w:r>
    </w:p>
    <w:p>
      <w:pPr>
        <w:numPr>
          <w:ilvl w:val="0"/>
          <w:numId w:val="1011"/>
        </w:numPr>
        <w:pStyle w:val="Compact"/>
      </w:pPr>
      <w:r>
        <w:t xml:space="preserve">Rheumatoid Arthritis [PMID: 11472439, PMID: 16331752, PMID: 21724701, PMID: 27058440, PMID: 29216915]</w:t>
      </w:r>
    </w:p>
    <w:p>
      <w:pPr>
        <w:numPr>
          <w:ilvl w:val="0"/>
          <w:numId w:val="1011"/>
        </w:numPr>
        <w:pStyle w:val="Compact"/>
      </w:pPr>
      <w:r>
        <w:t xml:space="preserve">Tumor Cell Invasion [PMID: 11994140, PMID: 16764701, PMID: 20435467]</w:t>
      </w:r>
    </w:p>
    <w:p>
      <w:pPr>
        <w:numPr>
          <w:ilvl w:val="0"/>
          <w:numId w:val="1011"/>
        </w:numPr>
        <w:pStyle w:val="Compact"/>
      </w:pPr>
      <w:r>
        <w:t xml:space="preserve">Neoplasms [PMID: 16764701, PMID: 23817679, PMID: 25864589, PMID: 26684834, PMID: 27723802]</w:t>
      </w:r>
    </w:p>
    <w:bookmarkEnd w:id="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P78556" TargetMode="External" /><Relationship Type="http://schemas.openxmlformats.org/officeDocument/2006/relationships/hyperlink" Id="rId40" Target="https://alphafold.ebi.ac.uk/entry/P97884" TargetMode="External" /><Relationship Type="http://schemas.openxmlformats.org/officeDocument/2006/relationships/hyperlink" Id="rId29" Target="https://maayanlab.cloud/Harmonizome/gene/CCL20"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 TargetMode="External" /><Relationship Type="http://schemas.openxmlformats.org/officeDocument/2006/relationships/hyperlink" Id="rId50" Target="https://reactome.org/PathwayBrowser/#/R-HSA-6783783" TargetMode="External" /><Relationship Type="http://schemas.openxmlformats.org/officeDocument/2006/relationships/hyperlink" Id="rId34" Target="https://rgd.mcw.edu/rgdweb/report/gene/main.html?id=3646" TargetMode="External" /><Relationship Type="http://schemas.openxmlformats.org/officeDocument/2006/relationships/hyperlink" Id="rId25" Target="https://string-db.org/newstring_cgi/show_edge_details.pl?identifiers=9606.ENSP00000351671%0D9606.ENSP00000292301" TargetMode="External" /><Relationship Type="http://schemas.openxmlformats.org/officeDocument/2006/relationships/hyperlink" Id="rId26" Target="https://string-db.org/newstring_cgi/show_edge_details.pl?identifiers=9606.ENSP00000351671%0D9606.ENSP00000349967" TargetMode="External" /><Relationship Type="http://schemas.openxmlformats.org/officeDocument/2006/relationships/hyperlink" Id="rId32" Target="https://useast.ensembl.org/Homo_sapiens/Gene/Summary?g=ENSG00000115009" TargetMode="External" /><Relationship Type="http://schemas.openxmlformats.org/officeDocument/2006/relationships/hyperlink" Id="rId33" Target="https://useast.ensembl.org/Rattus_norvegicus/Gene/Summary?g=ENSRNOG00000015992" TargetMode="External" /><Relationship Type="http://schemas.openxmlformats.org/officeDocument/2006/relationships/hyperlink" Id="rId20" Target="https://www.genecards.org/cgi-bin/carddisp.pl?gene=CCL20" TargetMode="External" /><Relationship Type="http://schemas.openxmlformats.org/officeDocument/2006/relationships/hyperlink" Id="rId59" Target="https://www.gsea-msigdb.org/gsea/msigdb/human/geneset/NABA_MATRISOME_ASSOCIATED.html" TargetMode="External" /><Relationship Type="http://schemas.openxmlformats.org/officeDocument/2006/relationships/hyperlink" Id="rId54" Target="https://www.gsea-msigdb.org/gsea/msigdb/human/geneset/NAKAMURA_TUMOR_ZONE_PERIPHERAL_VS_CENTRAL_DN.html" TargetMode="External" /><Relationship Type="http://schemas.openxmlformats.org/officeDocument/2006/relationships/hyperlink" Id="rId57" Target="https://www.gsea-msigdb.org/gsea/msigdb/human/geneset/REACTOME_CLASS_A_1_RHODOPSIN_LIKE_RECEPTORS.html" TargetMode="External" /><Relationship Type="http://schemas.openxmlformats.org/officeDocument/2006/relationships/hyperlink" Id="rId53" Target="https://www.gsea-msigdb.org/gsea/msigdb/human/geneset/REACTOME_SIGNALING_BY_GPCR.html" TargetMode="External" /><Relationship Type="http://schemas.openxmlformats.org/officeDocument/2006/relationships/hyperlink" Id="rId58" Target="https://www.gsea-msigdb.org/gsea/msigdb/human/geneset/WP_EBSTEINBARR_VIRUS_LMP1_SIGNALING.html" TargetMode="External" /><Relationship Type="http://schemas.openxmlformats.org/officeDocument/2006/relationships/hyperlink" Id="rId55" Target="https://www.gsea-msigdb.org/gsea/msigdb/human/geneset/WP_NUCLEAR_RECEPTORS_METAPATHWAY.html" TargetMode="External" /><Relationship Type="http://schemas.openxmlformats.org/officeDocument/2006/relationships/hyperlink" Id="rId56" Target="https://www.gsea-msigdb.org/gsea/msigdb/human/geneset/YAN_ESCAPE_FROM_ANOIKIS.html" TargetMode="External" /><Relationship Type="http://schemas.openxmlformats.org/officeDocument/2006/relationships/hyperlink" Id="rId31" Target="https://www.ncbi.nlm.nih.gov/gene/29538" TargetMode="External" /><Relationship Type="http://schemas.openxmlformats.org/officeDocument/2006/relationships/hyperlink" Id="rId30" Target="https://www.ncbi.nlm.nih.gov/gene/6364" TargetMode="External" /><Relationship Type="http://schemas.openxmlformats.org/officeDocument/2006/relationships/hyperlink" Id="rId69" Target="https://www.proteinatlas.org/ENSG00000115009/single+cell+type" TargetMode="External" /><Relationship Type="http://schemas.openxmlformats.org/officeDocument/2006/relationships/hyperlink" Id="rId63" Target="https://www.proteinatlas.org/ENSG00000115009/subcellular" TargetMode="External" /><Relationship Type="http://schemas.openxmlformats.org/officeDocument/2006/relationships/hyperlink" Id="rId68" Target="https://www.proteinatlas.org/ENSG00000115009/tissue" TargetMode="External" /><Relationship Type="http://schemas.openxmlformats.org/officeDocument/2006/relationships/hyperlink" Id="rId46" Target="https://www.rcsb.org/structure/1HA6" TargetMode="External" /><Relationship Type="http://schemas.openxmlformats.org/officeDocument/2006/relationships/hyperlink" Id="rId41" Target="https://www.rcsb.org/structure/1M8A" TargetMode="External" /><Relationship Type="http://schemas.openxmlformats.org/officeDocument/2006/relationships/hyperlink" Id="rId42" Target="https://www.rcsb.org/structure/2HCI" TargetMode="External" /><Relationship Type="http://schemas.openxmlformats.org/officeDocument/2006/relationships/hyperlink" Id="rId43" Target="https://www.rcsb.org/structure/2JYO" TargetMode="External" /><Relationship Type="http://schemas.openxmlformats.org/officeDocument/2006/relationships/hyperlink" Id="rId44" Target="https://www.rcsb.org/structure/6WWZ" TargetMode="External" /><Relationship Type="http://schemas.openxmlformats.org/officeDocument/2006/relationships/hyperlink" Id="rId45" Target="https://www.rcsb.org/structure/7T1E" TargetMode="External" /><Relationship Type="http://schemas.openxmlformats.org/officeDocument/2006/relationships/hyperlink" Id="rId35" Target="https://www.uniprot.org/uniprotkb/P78556" TargetMode="External" /><Relationship Type="http://schemas.openxmlformats.org/officeDocument/2006/relationships/hyperlink" Id="rId36" Target="https://www.uniprot.org/uniprotkb/P97884" TargetMode="External" /><Relationship Type="http://schemas.openxmlformats.org/officeDocument/2006/relationships/hyperlink" Id="rId38" Target="https://www.wikigenes.org/e/gene/e/29538.html" TargetMode="External" /><Relationship Type="http://schemas.openxmlformats.org/officeDocument/2006/relationships/hyperlink" Id="rId37" Target="https://www.wikigenes.org/e/gene/e/6364.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P78556" TargetMode="External" /><Relationship Type="http://schemas.openxmlformats.org/officeDocument/2006/relationships/hyperlink" Id="rId40" Target="https://alphafold.ebi.ac.uk/entry/P97884" TargetMode="External" /><Relationship Type="http://schemas.openxmlformats.org/officeDocument/2006/relationships/hyperlink" Id="rId29" Target="https://maayanlab.cloud/Harmonizome/gene/CCL20" TargetMode="External" /><Relationship Type="http://schemas.openxmlformats.org/officeDocument/2006/relationships/hyperlink" Id="rId48" Target="https://reactome.org/PathwayBrowser/#/R-HSA-380108" TargetMode="External" /><Relationship Type="http://schemas.openxmlformats.org/officeDocument/2006/relationships/hyperlink" Id="rId49" Target="https://reactome.org/PathwayBrowser/#/R-HSA-418594" TargetMode="External" /><Relationship Type="http://schemas.openxmlformats.org/officeDocument/2006/relationships/hyperlink" Id="rId50" Target="https://reactome.org/PathwayBrowser/#/R-HSA-6783783" TargetMode="External" /><Relationship Type="http://schemas.openxmlformats.org/officeDocument/2006/relationships/hyperlink" Id="rId34" Target="https://rgd.mcw.edu/rgdweb/report/gene/main.html?id=3646" TargetMode="External" /><Relationship Type="http://schemas.openxmlformats.org/officeDocument/2006/relationships/hyperlink" Id="rId25" Target="https://string-db.org/newstring_cgi/show_edge_details.pl?identifiers=9606.ENSP00000351671%0D9606.ENSP00000292301" TargetMode="External" /><Relationship Type="http://schemas.openxmlformats.org/officeDocument/2006/relationships/hyperlink" Id="rId26" Target="https://string-db.org/newstring_cgi/show_edge_details.pl?identifiers=9606.ENSP00000351671%0D9606.ENSP00000349967" TargetMode="External" /><Relationship Type="http://schemas.openxmlformats.org/officeDocument/2006/relationships/hyperlink" Id="rId32" Target="https://useast.ensembl.org/Homo_sapiens/Gene/Summary?g=ENSG00000115009" TargetMode="External" /><Relationship Type="http://schemas.openxmlformats.org/officeDocument/2006/relationships/hyperlink" Id="rId33" Target="https://useast.ensembl.org/Rattus_norvegicus/Gene/Summary?g=ENSRNOG00000015992" TargetMode="External" /><Relationship Type="http://schemas.openxmlformats.org/officeDocument/2006/relationships/hyperlink" Id="rId20" Target="https://www.genecards.org/cgi-bin/carddisp.pl?gene=CCL20" TargetMode="External" /><Relationship Type="http://schemas.openxmlformats.org/officeDocument/2006/relationships/hyperlink" Id="rId59" Target="https://www.gsea-msigdb.org/gsea/msigdb/human/geneset/NABA_MATRISOME_ASSOCIATED.html" TargetMode="External" /><Relationship Type="http://schemas.openxmlformats.org/officeDocument/2006/relationships/hyperlink" Id="rId54" Target="https://www.gsea-msigdb.org/gsea/msigdb/human/geneset/NAKAMURA_TUMOR_ZONE_PERIPHERAL_VS_CENTRAL_DN.html" TargetMode="External" /><Relationship Type="http://schemas.openxmlformats.org/officeDocument/2006/relationships/hyperlink" Id="rId57" Target="https://www.gsea-msigdb.org/gsea/msigdb/human/geneset/REACTOME_CLASS_A_1_RHODOPSIN_LIKE_RECEPTORS.html" TargetMode="External" /><Relationship Type="http://schemas.openxmlformats.org/officeDocument/2006/relationships/hyperlink" Id="rId53" Target="https://www.gsea-msigdb.org/gsea/msigdb/human/geneset/REACTOME_SIGNALING_BY_GPCR.html" TargetMode="External" /><Relationship Type="http://schemas.openxmlformats.org/officeDocument/2006/relationships/hyperlink" Id="rId58" Target="https://www.gsea-msigdb.org/gsea/msigdb/human/geneset/WP_EBSTEINBARR_VIRUS_LMP1_SIGNALING.html" TargetMode="External" /><Relationship Type="http://schemas.openxmlformats.org/officeDocument/2006/relationships/hyperlink" Id="rId55" Target="https://www.gsea-msigdb.org/gsea/msigdb/human/geneset/WP_NUCLEAR_RECEPTORS_METAPATHWAY.html" TargetMode="External" /><Relationship Type="http://schemas.openxmlformats.org/officeDocument/2006/relationships/hyperlink" Id="rId56" Target="https://www.gsea-msigdb.org/gsea/msigdb/human/geneset/YAN_ESCAPE_FROM_ANOIKIS.html" TargetMode="External" /><Relationship Type="http://schemas.openxmlformats.org/officeDocument/2006/relationships/hyperlink" Id="rId31" Target="https://www.ncbi.nlm.nih.gov/gene/29538" TargetMode="External" /><Relationship Type="http://schemas.openxmlformats.org/officeDocument/2006/relationships/hyperlink" Id="rId30" Target="https://www.ncbi.nlm.nih.gov/gene/6364" TargetMode="External" /><Relationship Type="http://schemas.openxmlformats.org/officeDocument/2006/relationships/hyperlink" Id="rId69" Target="https://www.proteinatlas.org/ENSG00000115009/single+cell+type" TargetMode="External" /><Relationship Type="http://schemas.openxmlformats.org/officeDocument/2006/relationships/hyperlink" Id="rId63" Target="https://www.proteinatlas.org/ENSG00000115009/subcellular" TargetMode="External" /><Relationship Type="http://schemas.openxmlformats.org/officeDocument/2006/relationships/hyperlink" Id="rId68" Target="https://www.proteinatlas.org/ENSG00000115009/tissue" TargetMode="External" /><Relationship Type="http://schemas.openxmlformats.org/officeDocument/2006/relationships/hyperlink" Id="rId46" Target="https://www.rcsb.org/structure/1HA6" TargetMode="External" /><Relationship Type="http://schemas.openxmlformats.org/officeDocument/2006/relationships/hyperlink" Id="rId41" Target="https://www.rcsb.org/structure/1M8A" TargetMode="External" /><Relationship Type="http://schemas.openxmlformats.org/officeDocument/2006/relationships/hyperlink" Id="rId42" Target="https://www.rcsb.org/structure/2HCI" TargetMode="External" /><Relationship Type="http://schemas.openxmlformats.org/officeDocument/2006/relationships/hyperlink" Id="rId43" Target="https://www.rcsb.org/structure/2JYO" TargetMode="External" /><Relationship Type="http://schemas.openxmlformats.org/officeDocument/2006/relationships/hyperlink" Id="rId44" Target="https://www.rcsb.org/structure/6WWZ" TargetMode="External" /><Relationship Type="http://schemas.openxmlformats.org/officeDocument/2006/relationships/hyperlink" Id="rId45" Target="https://www.rcsb.org/structure/7T1E" TargetMode="External" /><Relationship Type="http://schemas.openxmlformats.org/officeDocument/2006/relationships/hyperlink" Id="rId35" Target="https://www.uniprot.org/uniprotkb/P78556" TargetMode="External" /><Relationship Type="http://schemas.openxmlformats.org/officeDocument/2006/relationships/hyperlink" Id="rId36" Target="https://www.uniprot.org/uniprotkb/P97884" TargetMode="External" /><Relationship Type="http://schemas.openxmlformats.org/officeDocument/2006/relationships/hyperlink" Id="rId38" Target="https://www.wikigenes.org/e/gene/e/29538.html" TargetMode="External" /><Relationship Type="http://schemas.openxmlformats.org/officeDocument/2006/relationships/hyperlink" Id="rId37" Target="https://www.wikigenes.org/e/gene/e/636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2025-03-12T03:42:23Z</dcterms:created>
  <dcterms:modified xsi:type="dcterms:W3CDTF">2025-03-12T03:42:23Z</dcterms:modified>
</cp:coreProperties>
</file>

<file path=docProps/custom.xml><?xml version="1.0" encoding="utf-8"?>
<Properties xmlns="http://schemas.openxmlformats.org/officeDocument/2006/custom-properties" xmlns:vt="http://schemas.openxmlformats.org/officeDocument/2006/docPropsVTypes"/>
</file>