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8A5DEC0" w14:textId="77777777" w:rsidR="004817AD" w:rsidRPr="004817AD" w:rsidRDefault="004817AD" w:rsidP="004817AD">
      <w:pPr>
        <w:spacing w:line="240" w:lineRule="auto"/>
        <w:jc w:val="both"/>
        <w:rPr>
          <w:b/>
          <w:vertAlign w:val="superscript"/>
        </w:rPr>
      </w:pPr>
      <w:bookmarkStart w:id="0" w:name="_GoBack"/>
      <w:bookmarkEnd w:id="0"/>
      <w:r w:rsidRPr="00DE7EA4">
        <w:rPr>
          <w:b/>
        </w:rPr>
        <w:t xml:space="preserve">Table </w:t>
      </w:r>
      <w:r>
        <w:rPr>
          <w:b/>
        </w:rPr>
        <w:t xml:space="preserve">S1. </w:t>
      </w:r>
      <w:r w:rsidRPr="0042077C">
        <w:t xml:space="preserve">Data </w:t>
      </w:r>
      <w:proofErr w:type="spellStart"/>
      <w:r w:rsidRPr="0042077C">
        <w:t>sources</w:t>
      </w:r>
      <w:r>
        <w:rPr>
          <w:vertAlign w:val="superscript"/>
        </w:rPr>
        <w:t>a</w:t>
      </w:r>
      <w:proofErr w:type="spellEnd"/>
    </w:p>
    <w:tbl>
      <w:tblPr>
        <w:tblW w:w="93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2"/>
        <w:gridCol w:w="7830"/>
      </w:tblGrid>
      <w:tr w:rsidR="004817AD" w:rsidRPr="00F81E74" w14:paraId="35762DCD" w14:textId="77777777" w:rsidTr="00F10ADC">
        <w:trPr>
          <w:trHeight w:val="320"/>
        </w:trPr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F3900" w14:textId="77777777" w:rsidR="004817AD" w:rsidRPr="00582ED1" w:rsidRDefault="004817AD" w:rsidP="00F456AF">
            <w:pPr>
              <w:pStyle w:val="Poster-TableText"/>
              <w:jc w:val="left"/>
              <w:rPr>
                <w:b/>
              </w:rPr>
            </w:pPr>
            <w:r>
              <w:rPr>
                <w:b/>
              </w:rPr>
              <w:t>Test Method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9941" w14:textId="77777777" w:rsidR="004817AD" w:rsidRPr="003D4F27" w:rsidRDefault="004817AD" w:rsidP="00AD5973">
            <w:pPr>
              <w:pStyle w:val="Poster-TableText"/>
              <w:jc w:val="left"/>
              <w:rPr>
                <w:b/>
              </w:rPr>
            </w:pPr>
            <w:r w:rsidRPr="003D4F27">
              <w:rPr>
                <w:b/>
              </w:rPr>
              <w:t>Reference</w:t>
            </w:r>
          </w:p>
        </w:tc>
      </w:tr>
      <w:tr w:rsidR="004817AD" w:rsidRPr="00F81E74" w14:paraId="00D26BB1" w14:textId="77777777" w:rsidTr="00F10ADC">
        <w:trPr>
          <w:trHeight w:val="320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ED7D" w14:textId="77777777" w:rsidR="004817AD" w:rsidRPr="00582ED1" w:rsidRDefault="004817AD" w:rsidP="00AD5973">
            <w:pPr>
              <w:pStyle w:val="Poster-TableText"/>
              <w:jc w:val="left"/>
              <w:rPr>
                <w:b/>
              </w:rPr>
            </w:pPr>
            <w:r w:rsidRPr="00582ED1">
              <w:rPr>
                <w:b/>
              </w:rPr>
              <w:t>DPRA</w:t>
            </w:r>
            <w:r>
              <w:rPr>
                <w:b/>
              </w:rPr>
              <w:t xml:space="preserve"> </w:t>
            </w:r>
          </w:p>
        </w:tc>
        <w:tc>
          <w:tcPr>
            <w:tcW w:w="7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F2D0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proofErr w:type="spellStart"/>
            <w:r w:rsidRPr="0050029B">
              <w:rPr>
                <w:lang w:val="fr-FR"/>
              </w:rPr>
              <w:t>Bauch</w:t>
            </w:r>
            <w:proofErr w:type="spellEnd"/>
            <w:r w:rsidRPr="0050029B">
              <w:rPr>
                <w:lang w:val="fr-FR"/>
              </w:rPr>
              <w:t xml:space="preserve"> et al. (2011)</w:t>
            </w:r>
          </w:p>
          <w:p w14:paraId="71FE0E32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proofErr w:type="spellStart"/>
            <w:r w:rsidRPr="0050029B">
              <w:rPr>
                <w:lang w:val="fr-FR"/>
              </w:rPr>
              <w:t>Bauch</w:t>
            </w:r>
            <w:proofErr w:type="spellEnd"/>
            <w:r w:rsidRPr="0050029B">
              <w:rPr>
                <w:lang w:val="fr-FR"/>
              </w:rPr>
              <w:t xml:space="preserve"> et al. (2012)</w:t>
            </w:r>
          </w:p>
          <w:p w14:paraId="3A737F16" w14:textId="77777777" w:rsidR="0050029B" w:rsidRDefault="0050029B" w:rsidP="0050029B">
            <w:pPr>
              <w:pStyle w:val="Poster-TableText"/>
              <w:jc w:val="left"/>
            </w:pPr>
            <w:proofErr w:type="spellStart"/>
            <w:r>
              <w:t>Gerberick</w:t>
            </w:r>
            <w:proofErr w:type="spellEnd"/>
            <w:r>
              <w:t xml:space="preserve"> et al. (2004)</w:t>
            </w:r>
          </w:p>
          <w:p w14:paraId="7BDF509F" w14:textId="77777777" w:rsidR="0050029B" w:rsidRDefault="0050029B" w:rsidP="0050029B">
            <w:pPr>
              <w:pStyle w:val="Poster-TableText"/>
              <w:jc w:val="left"/>
            </w:pPr>
            <w:proofErr w:type="spellStart"/>
            <w:r>
              <w:t>Gerberick</w:t>
            </w:r>
            <w:proofErr w:type="spellEnd"/>
            <w:r>
              <w:t xml:space="preserve"> et al. (2007)</w:t>
            </w:r>
          </w:p>
          <w:p w14:paraId="4124D79A" w14:textId="77777777" w:rsidR="0050029B" w:rsidRDefault="0050029B" w:rsidP="0050029B">
            <w:pPr>
              <w:pStyle w:val="Poster-TableText"/>
              <w:jc w:val="left"/>
            </w:pPr>
            <w:proofErr w:type="spellStart"/>
            <w:r>
              <w:t>Jaworska</w:t>
            </w:r>
            <w:proofErr w:type="spellEnd"/>
            <w:r>
              <w:t xml:space="preserve"> et al. (2011)</w:t>
            </w:r>
          </w:p>
          <w:p w14:paraId="3D7001E4" w14:textId="77777777" w:rsidR="0050029B" w:rsidRDefault="0050029B" w:rsidP="0050029B">
            <w:pPr>
              <w:pStyle w:val="Poster-TableText"/>
              <w:jc w:val="left"/>
            </w:pPr>
            <w:proofErr w:type="spellStart"/>
            <w:r>
              <w:t>Jaworska</w:t>
            </w:r>
            <w:proofErr w:type="spellEnd"/>
            <w:r>
              <w:t xml:space="preserve"> </w:t>
            </w:r>
            <w:proofErr w:type="gramStart"/>
            <w:r>
              <w:t>et al.( 2013</w:t>
            </w:r>
            <w:proofErr w:type="gramEnd"/>
            <w:r>
              <w:t>)</w:t>
            </w:r>
          </w:p>
          <w:p w14:paraId="0D056498" w14:textId="77777777" w:rsidR="0050029B" w:rsidRDefault="0050029B" w:rsidP="0050029B">
            <w:pPr>
              <w:pStyle w:val="Poster-TableText"/>
              <w:jc w:val="left"/>
            </w:pPr>
            <w:r>
              <w:t>Joint Research Centre of the European Union (2013)</w:t>
            </w:r>
          </w:p>
          <w:p w14:paraId="22F0C9C0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proofErr w:type="spellStart"/>
            <w:r w:rsidRPr="0050029B">
              <w:rPr>
                <w:lang w:val="fr-FR"/>
              </w:rPr>
              <w:t>Natsch</w:t>
            </w:r>
            <w:proofErr w:type="spellEnd"/>
            <w:r w:rsidRPr="0050029B">
              <w:rPr>
                <w:lang w:val="fr-FR"/>
              </w:rPr>
              <w:t xml:space="preserve"> et al. (2013)</w:t>
            </w:r>
          </w:p>
          <w:p w14:paraId="0A789CE0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proofErr w:type="spellStart"/>
            <w:r w:rsidRPr="0050029B">
              <w:rPr>
                <w:lang w:val="fr-FR"/>
              </w:rPr>
              <w:t>Nukada</w:t>
            </w:r>
            <w:proofErr w:type="spellEnd"/>
            <w:r w:rsidRPr="0050029B">
              <w:rPr>
                <w:lang w:val="fr-FR"/>
              </w:rPr>
              <w:t xml:space="preserve"> et al. (2013)</w:t>
            </w:r>
          </w:p>
          <w:p w14:paraId="5F595302" w14:textId="0165A7B3" w:rsidR="004817AD" w:rsidRPr="00F81E74" w:rsidRDefault="0050029B" w:rsidP="0050029B">
            <w:pPr>
              <w:pStyle w:val="Poster-TableText"/>
              <w:jc w:val="left"/>
            </w:pPr>
            <w:proofErr w:type="spellStart"/>
            <w:r>
              <w:t>Takenouchi</w:t>
            </w:r>
            <w:proofErr w:type="spellEnd"/>
            <w:r>
              <w:t xml:space="preserve"> et al. (2013)</w:t>
            </w:r>
          </w:p>
        </w:tc>
      </w:tr>
      <w:tr w:rsidR="004817AD" w:rsidRPr="00F81E74" w14:paraId="578114C6" w14:textId="77777777" w:rsidTr="004817AD">
        <w:trPr>
          <w:trHeight w:val="32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285D" w14:textId="77777777" w:rsidR="004817AD" w:rsidRPr="00582ED1" w:rsidRDefault="004817AD" w:rsidP="00AD5973">
            <w:pPr>
              <w:pStyle w:val="Poster-TableText"/>
              <w:jc w:val="left"/>
              <w:rPr>
                <w:b/>
              </w:rPr>
            </w:pPr>
            <w:proofErr w:type="spellStart"/>
            <w:r w:rsidRPr="00582ED1">
              <w:rPr>
                <w:b/>
              </w:rPr>
              <w:t>KeratinoSens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3F22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r w:rsidRPr="0050029B">
              <w:rPr>
                <w:lang w:val="fr-FR"/>
              </w:rPr>
              <w:t>Ball et al. (2011)</w:t>
            </w:r>
          </w:p>
          <w:p w14:paraId="2B0BACF5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proofErr w:type="spellStart"/>
            <w:r w:rsidRPr="0050029B">
              <w:rPr>
                <w:lang w:val="fr-FR"/>
              </w:rPr>
              <w:t>Bauch</w:t>
            </w:r>
            <w:proofErr w:type="spellEnd"/>
            <w:r w:rsidRPr="0050029B">
              <w:rPr>
                <w:lang w:val="fr-FR"/>
              </w:rPr>
              <w:t xml:space="preserve"> et al. (2011)</w:t>
            </w:r>
          </w:p>
          <w:p w14:paraId="79F6EFEB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proofErr w:type="spellStart"/>
            <w:r w:rsidRPr="0050029B">
              <w:rPr>
                <w:lang w:val="fr-FR"/>
              </w:rPr>
              <w:t>Bauch</w:t>
            </w:r>
            <w:proofErr w:type="spellEnd"/>
            <w:r w:rsidRPr="0050029B">
              <w:rPr>
                <w:lang w:val="fr-FR"/>
              </w:rPr>
              <w:t xml:space="preserve"> et al. (2012)</w:t>
            </w:r>
          </w:p>
          <w:p w14:paraId="115EFE10" w14:textId="77777777" w:rsidR="0050029B" w:rsidRDefault="0050029B" w:rsidP="0050029B">
            <w:pPr>
              <w:pStyle w:val="Poster-TableText"/>
              <w:jc w:val="left"/>
            </w:pPr>
            <w:proofErr w:type="spellStart"/>
            <w:r w:rsidRPr="0050029B">
              <w:rPr>
                <w:lang w:val="fr-FR"/>
              </w:rPr>
              <w:t>Emter</w:t>
            </w:r>
            <w:proofErr w:type="spellEnd"/>
            <w:r w:rsidRPr="0050029B">
              <w:rPr>
                <w:lang w:val="fr-FR"/>
              </w:rPr>
              <w:t xml:space="preserve"> et al. </w:t>
            </w:r>
            <w:r>
              <w:t>(2010)</w:t>
            </w:r>
          </w:p>
          <w:p w14:paraId="044570AD" w14:textId="77777777" w:rsidR="0050029B" w:rsidRDefault="0050029B" w:rsidP="0050029B">
            <w:pPr>
              <w:pStyle w:val="Poster-TableText"/>
              <w:jc w:val="left"/>
            </w:pPr>
            <w:r>
              <w:t>Joint Research Centre of the European Union (2014)</w:t>
            </w:r>
          </w:p>
          <w:p w14:paraId="0D6E3201" w14:textId="77004D8C" w:rsidR="004817AD" w:rsidRPr="00F81E74" w:rsidRDefault="0050029B" w:rsidP="0050029B">
            <w:pPr>
              <w:pStyle w:val="Poster-TableText"/>
              <w:jc w:val="left"/>
            </w:pPr>
            <w:proofErr w:type="spellStart"/>
            <w:r>
              <w:t>Natsch</w:t>
            </w:r>
            <w:proofErr w:type="spellEnd"/>
            <w:r>
              <w:t xml:space="preserve"> et al. (2013)</w:t>
            </w:r>
          </w:p>
        </w:tc>
      </w:tr>
      <w:tr w:rsidR="004817AD" w:rsidRPr="00F81E74" w14:paraId="1395C951" w14:textId="77777777" w:rsidTr="00F10ADC">
        <w:trPr>
          <w:trHeight w:val="32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6C38E" w14:textId="77777777" w:rsidR="004817AD" w:rsidRPr="00582ED1" w:rsidRDefault="004817AD" w:rsidP="00AD5973">
            <w:pPr>
              <w:pStyle w:val="Poster-TableText"/>
              <w:jc w:val="left"/>
              <w:rPr>
                <w:b/>
              </w:rPr>
            </w:pPr>
            <w:r w:rsidRPr="00582ED1">
              <w:rPr>
                <w:b/>
              </w:rPr>
              <w:t>h-CLAT</w:t>
            </w:r>
            <w:r>
              <w:rPr>
                <w:b/>
              </w:rPr>
              <w:t xml:space="preserve"> 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996AB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r w:rsidRPr="0050029B">
              <w:rPr>
                <w:lang w:val="fr-FR"/>
              </w:rPr>
              <w:t>Ashikaga et al. (2010)</w:t>
            </w:r>
          </w:p>
          <w:p w14:paraId="2DA5BD5F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proofErr w:type="spellStart"/>
            <w:r w:rsidRPr="0050029B">
              <w:rPr>
                <w:lang w:val="fr-FR"/>
              </w:rPr>
              <w:t>Bauch</w:t>
            </w:r>
            <w:proofErr w:type="spellEnd"/>
            <w:r w:rsidRPr="0050029B">
              <w:rPr>
                <w:lang w:val="fr-FR"/>
              </w:rPr>
              <w:t xml:space="preserve"> et al. (2011)</w:t>
            </w:r>
          </w:p>
          <w:p w14:paraId="4A5EA62B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proofErr w:type="spellStart"/>
            <w:r w:rsidRPr="0050029B">
              <w:rPr>
                <w:lang w:val="fr-FR"/>
              </w:rPr>
              <w:t>Bauch</w:t>
            </w:r>
            <w:proofErr w:type="spellEnd"/>
            <w:r w:rsidRPr="0050029B">
              <w:rPr>
                <w:lang w:val="fr-FR"/>
              </w:rPr>
              <w:t xml:space="preserve"> et al. (2012)</w:t>
            </w:r>
          </w:p>
          <w:p w14:paraId="2C19AED1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proofErr w:type="spellStart"/>
            <w:r w:rsidRPr="0050029B">
              <w:rPr>
                <w:lang w:val="fr-FR"/>
              </w:rPr>
              <w:t>Nukada</w:t>
            </w:r>
            <w:proofErr w:type="spellEnd"/>
            <w:r w:rsidRPr="0050029B">
              <w:rPr>
                <w:lang w:val="fr-FR"/>
              </w:rPr>
              <w:t xml:space="preserve"> et al. (2011)</w:t>
            </w:r>
          </w:p>
          <w:p w14:paraId="705450AE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proofErr w:type="spellStart"/>
            <w:r w:rsidRPr="0050029B">
              <w:rPr>
                <w:lang w:val="fr-FR"/>
              </w:rPr>
              <w:t>Nukada</w:t>
            </w:r>
            <w:proofErr w:type="spellEnd"/>
            <w:r w:rsidRPr="0050029B">
              <w:rPr>
                <w:lang w:val="fr-FR"/>
              </w:rPr>
              <w:t xml:space="preserve"> et al. (2012)</w:t>
            </w:r>
          </w:p>
          <w:p w14:paraId="6DA80B5C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proofErr w:type="spellStart"/>
            <w:r w:rsidRPr="0050029B">
              <w:rPr>
                <w:lang w:val="fr-FR"/>
              </w:rPr>
              <w:t>Nukada</w:t>
            </w:r>
            <w:proofErr w:type="spellEnd"/>
            <w:r w:rsidRPr="0050029B">
              <w:rPr>
                <w:lang w:val="fr-FR"/>
              </w:rPr>
              <w:t xml:space="preserve"> et al. (2013)</w:t>
            </w:r>
          </w:p>
          <w:p w14:paraId="62C8B4D7" w14:textId="77777777" w:rsidR="0050029B" w:rsidRPr="0050029B" w:rsidRDefault="0050029B" w:rsidP="0050029B">
            <w:pPr>
              <w:pStyle w:val="Poster-TableText"/>
              <w:jc w:val="left"/>
              <w:rPr>
                <w:lang w:val="fr-FR"/>
              </w:rPr>
            </w:pPr>
            <w:proofErr w:type="spellStart"/>
            <w:r w:rsidRPr="0050029B">
              <w:rPr>
                <w:lang w:val="fr-FR"/>
              </w:rPr>
              <w:t>Sakaguchi</w:t>
            </w:r>
            <w:proofErr w:type="spellEnd"/>
            <w:r w:rsidRPr="0050029B">
              <w:rPr>
                <w:lang w:val="fr-FR"/>
              </w:rPr>
              <w:t xml:space="preserve"> et al. (2010)</w:t>
            </w:r>
          </w:p>
          <w:p w14:paraId="1B8D3778" w14:textId="385DDF3C" w:rsidR="004817AD" w:rsidRPr="00F81E74" w:rsidRDefault="0050029B" w:rsidP="0050029B">
            <w:pPr>
              <w:pStyle w:val="Poster-TableText"/>
              <w:jc w:val="left"/>
            </w:pPr>
            <w:proofErr w:type="spellStart"/>
            <w:r>
              <w:t>Takenouchi</w:t>
            </w:r>
            <w:proofErr w:type="spellEnd"/>
            <w:r>
              <w:t xml:space="preserve"> et al. (2013)</w:t>
            </w:r>
          </w:p>
        </w:tc>
      </w:tr>
      <w:tr w:rsidR="004817AD" w:rsidRPr="00F81E74" w14:paraId="150AC141" w14:textId="77777777" w:rsidTr="00F10ADC">
        <w:trPr>
          <w:trHeight w:val="320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F047" w14:textId="77777777" w:rsidR="004817AD" w:rsidRPr="00582ED1" w:rsidRDefault="004817AD" w:rsidP="00AD5973">
            <w:pPr>
              <w:pStyle w:val="Poster-TableText"/>
              <w:jc w:val="left"/>
              <w:rPr>
                <w:b/>
              </w:rPr>
            </w:pPr>
            <w:r>
              <w:rPr>
                <w:b/>
              </w:rPr>
              <w:t>LLNA</w:t>
            </w:r>
          </w:p>
        </w:tc>
        <w:tc>
          <w:tcPr>
            <w:tcW w:w="7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26AA7" w14:textId="77777777" w:rsidR="00484C84" w:rsidRDefault="00484C84" w:rsidP="00484C84">
            <w:pPr>
              <w:pStyle w:val="Poster-TableText"/>
              <w:jc w:val="left"/>
            </w:pPr>
            <w:proofErr w:type="spellStart"/>
            <w:r w:rsidRPr="00484C84">
              <w:rPr>
                <w:lang w:val="fr-FR"/>
              </w:rPr>
              <w:t>Basketter</w:t>
            </w:r>
            <w:proofErr w:type="spellEnd"/>
            <w:r w:rsidRPr="00484C84">
              <w:rPr>
                <w:lang w:val="fr-FR"/>
              </w:rPr>
              <w:t xml:space="preserve"> et al. (1996) and Estrada et al. </w:t>
            </w:r>
            <w:r>
              <w:t>(2003) (xylene)</w:t>
            </w:r>
          </w:p>
          <w:p w14:paraId="386274CA" w14:textId="77777777" w:rsidR="00484C84" w:rsidRDefault="00484C84" w:rsidP="00484C84">
            <w:pPr>
              <w:pStyle w:val="Poster-TableText"/>
              <w:jc w:val="left"/>
            </w:pPr>
            <w:proofErr w:type="spellStart"/>
            <w:r>
              <w:t>Basketter</w:t>
            </w:r>
            <w:proofErr w:type="spellEnd"/>
            <w:r>
              <w:t xml:space="preserve"> and Kimber (2006) (diphenylcyclopropenone, maleic anhydride, and propyl gallate)</w:t>
            </w:r>
          </w:p>
          <w:p w14:paraId="3427476B" w14:textId="77777777" w:rsidR="00484C84" w:rsidRPr="00484C84" w:rsidRDefault="00484C84" w:rsidP="00484C84">
            <w:pPr>
              <w:pStyle w:val="Poster-TableText"/>
              <w:jc w:val="left"/>
              <w:rPr>
                <w:lang w:val="fr-FR"/>
              </w:rPr>
            </w:pPr>
            <w:proofErr w:type="spellStart"/>
            <w:r w:rsidRPr="00484C84">
              <w:rPr>
                <w:lang w:val="fr-FR"/>
              </w:rPr>
              <w:t>Montelius</w:t>
            </w:r>
            <w:proofErr w:type="spellEnd"/>
            <w:r w:rsidRPr="00484C84">
              <w:rPr>
                <w:lang w:val="fr-FR"/>
              </w:rPr>
              <w:t xml:space="preserve"> et al. (1998) (</w:t>
            </w:r>
            <w:proofErr w:type="spellStart"/>
            <w:r w:rsidRPr="00484C84">
              <w:rPr>
                <w:lang w:val="fr-FR"/>
              </w:rPr>
              <w:t>nonanoic</w:t>
            </w:r>
            <w:proofErr w:type="spellEnd"/>
            <w:r w:rsidRPr="00484C84">
              <w:rPr>
                <w:lang w:val="fr-FR"/>
              </w:rPr>
              <w:t xml:space="preserve"> </w:t>
            </w:r>
            <w:proofErr w:type="spellStart"/>
            <w:r w:rsidRPr="00484C84">
              <w:rPr>
                <w:lang w:val="fr-FR"/>
              </w:rPr>
              <w:t>acid</w:t>
            </w:r>
            <w:proofErr w:type="spellEnd"/>
            <w:r w:rsidRPr="00484C84">
              <w:rPr>
                <w:lang w:val="fr-FR"/>
              </w:rPr>
              <w:t>)</w:t>
            </w:r>
          </w:p>
          <w:p w14:paraId="61EBAC23" w14:textId="77777777" w:rsidR="00484C84" w:rsidRDefault="00484C84" w:rsidP="00484C84">
            <w:pPr>
              <w:pStyle w:val="Poster-TableText"/>
              <w:jc w:val="left"/>
            </w:pPr>
            <w:r>
              <w:t xml:space="preserve">NICEATM LLNA database </w:t>
            </w:r>
          </w:p>
          <w:p w14:paraId="29379382" w14:textId="77777777" w:rsidR="00484C84" w:rsidRDefault="00484C84" w:rsidP="00484C84">
            <w:pPr>
              <w:pStyle w:val="Poster-TableText"/>
              <w:jc w:val="left"/>
            </w:pPr>
            <w:r>
              <w:t>Smith and Hotchkiss (2001) (2,4,6-trinitrobenzensulfonic acid)</w:t>
            </w:r>
          </w:p>
          <w:p w14:paraId="617D0A8E" w14:textId="54229F11" w:rsidR="004817AD" w:rsidRPr="00F81E74" w:rsidRDefault="00484C84" w:rsidP="00484C84">
            <w:pPr>
              <w:pStyle w:val="Poster-TableText"/>
              <w:jc w:val="left"/>
            </w:pPr>
            <w:r>
              <w:t xml:space="preserve">Van </w:t>
            </w:r>
            <w:proofErr w:type="spellStart"/>
            <w:r>
              <w:t>Och</w:t>
            </w:r>
            <w:proofErr w:type="spellEnd"/>
            <w:r>
              <w:t xml:space="preserve"> et al. (2000) (phthalic anhydride)</w:t>
            </w:r>
          </w:p>
        </w:tc>
      </w:tr>
      <w:tr w:rsidR="004817AD" w:rsidRPr="00F81E74" w14:paraId="0D5758C8" w14:textId="77777777" w:rsidTr="00F10ADC">
        <w:trPr>
          <w:trHeight w:val="320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4A205" w14:textId="77777777" w:rsidR="004817AD" w:rsidRDefault="004817AD" w:rsidP="00AD5973">
            <w:pPr>
              <w:pStyle w:val="Poster-TableText"/>
              <w:jc w:val="left"/>
              <w:rPr>
                <w:b/>
              </w:rPr>
            </w:pPr>
            <w:r>
              <w:rPr>
                <w:b/>
              </w:rPr>
              <w:t>Human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C107" w14:textId="77777777" w:rsidR="0050029B" w:rsidRDefault="0050029B" w:rsidP="00AD5973">
            <w:pPr>
              <w:pStyle w:val="Poster-TableText"/>
              <w:jc w:val="left"/>
              <w:rPr>
                <w:color w:val="auto"/>
                <w:szCs w:val="20"/>
              </w:rPr>
            </w:pPr>
            <w:proofErr w:type="spellStart"/>
            <w:r w:rsidRPr="0050029B">
              <w:rPr>
                <w:color w:val="auto"/>
                <w:szCs w:val="20"/>
              </w:rPr>
              <w:t>Basketter</w:t>
            </w:r>
            <w:proofErr w:type="spellEnd"/>
            <w:r w:rsidRPr="0050029B">
              <w:rPr>
                <w:color w:val="auto"/>
                <w:szCs w:val="20"/>
              </w:rPr>
              <w:t xml:space="preserve"> et al. (2014)</w:t>
            </w:r>
          </w:p>
          <w:p w14:paraId="77421ED9" w14:textId="77080DF1" w:rsidR="004817AD" w:rsidRPr="00DB2021" w:rsidRDefault="004817AD" w:rsidP="00AD5973">
            <w:pPr>
              <w:pStyle w:val="Poster-TableText"/>
              <w:jc w:val="left"/>
              <w:rPr>
                <w:szCs w:val="20"/>
              </w:rPr>
            </w:pPr>
            <w:proofErr w:type="spellStart"/>
            <w:r w:rsidRPr="00DB2021">
              <w:rPr>
                <w:color w:val="auto"/>
                <w:szCs w:val="20"/>
              </w:rPr>
              <w:t>Basketter</w:t>
            </w:r>
            <w:proofErr w:type="spellEnd"/>
            <w:r w:rsidRPr="00DB2021">
              <w:rPr>
                <w:color w:val="auto"/>
                <w:szCs w:val="20"/>
              </w:rPr>
              <w:t xml:space="preserve"> and Kimber (</w:t>
            </w:r>
            <w:r w:rsidR="00484C84" w:rsidRPr="00484C84">
              <w:rPr>
                <w:color w:val="auto"/>
                <w:szCs w:val="20"/>
              </w:rPr>
              <w:t>2006</w:t>
            </w:r>
            <w:r w:rsidRPr="00DB2021">
              <w:rPr>
                <w:color w:val="auto"/>
                <w:szCs w:val="20"/>
              </w:rPr>
              <w:t>)</w:t>
            </w:r>
          </w:p>
          <w:p w14:paraId="3EA64FFC" w14:textId="63C20091" w:rsidR="004817AD" w:rsidRDefault="00484C84" w:rsidP="00AD5973">
            <w:pPr>
              <w:pStyle w:val="Poster-TableText"/>
              <w:jc w:val="left"/>
            </w:pPr>
            <w:r w:rsidRPr="00484C84">
              <w:t>ICCVAM (2011)</w:t>
            </w:r>
          </w:p>
        </w:tc>
      </w:tr>
    </w:tbl>
    <w:p w14:paraId="6AF5A926" w14:textId="5397C8F6" w:rsidR="004817AD" w:rsidRPr="00C45649" w:rsidRDefault="004817AD" w:rsidP="004817AD">
      <w:pPr>
        <w:spacing w:line="240" w:lineRule="auto"/>
        <w:ind w:left="180" w:hanging="180"/>
        <w:jc w:val="both"/>
        <w:rPr>
          <w:sz w:val="20"/>
          <w:szCs w:val="20"/>
        </w:rPr>
      </w:pPr>
      <w:proofErr w:type="spellStart"/>
      <w:proofErr w:type="gramStart"/>
      <w:r w:rsidRPr="00946CAB">
        <w:rPr>
          <w:rFonts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946CAB">
        <w:rPr>
          <w:rFonts w:cs="Times New Roman"/>
          <w:sz w:val="20"/>
          <w:szCs w:val="20"/>
          <w:vertAlign w:val="superscript"/>
        </w:rPr>
        <w:t xml:space="preserve"> </w:t>
      </w:r>
      <w:r w:rsidRPr="00946CAB">
        <w:rPr>
          <w:rFonts w:cs="Times New Roman"/>
          <w:sz w:val="20"/>
          <w:szCs w:val="20"/>
        </w:rPr>
        <w:t>If a reference reported positive/negative results, but</w:t>
      </w:r>
      <w:r w:rsidRPr="00946CAB">
        <w:rPr>
          <w:rFonts w:cs="Times New Roman"/>
          <w:b/>
          <w:sz w:val="20"/>
          <w:szCs w:val="20"/>
        </w:rPr>
        <w:t xml:space="preserve"> </w:t>
      </w:r>
      <w:r w:rsidRPr="00946CAB">
        <w:rPr>
          <w:rFonts w:cs="Times New Roman"/>
          <w:sz w:val="20"/>
          <w:szCs w:val="20"/>
        </w:rPr>
        <w:t xml:space="preserve">did not include numerical values for the assay endpoints, values were </w:t>
      </w:r>
      <w:r w:rsidR="00432B23">
        <w:rPr>
          <w:rFonts w:cs="Times New Roman"/>
          <w:sz w:val="20"/>
          <w:szCs w:val="20"/>
        </w:rPr>
        <w:t>obtained</w:t>
      </w:r>
      <w:r w:rsidRPr="00946CAB">
        <w:rPr>
          <w:rFonts w:cs="Times New Roman"/>
          <w:sz w:val="20"/>
          <w:szCs w:val="20"/>
        </w:rPr>
        <w:t xml:space="preserve"> from the corresponding authors.</w:t>
      </w:r>
    </w:p>
    <w:p w14:paraId="6D67155B" w14:textId="77777777" w:rsidR="004817AD" w:rsidRDefault="004817AD" w:rsidP="004817AD">
      <w:pPr>
        <w:spacing w:line="240" w:lineRule="auto"/>
        <w:ind w:left="180" w:hanging="180"/>
        <w:jc w:val="both"/>
        <w:rPr>
          <w:rFonts w:cs="Times New Roman"/>
          <w:sz w:val="20"/>
          <w:szCs w:val="20"/>
        </w:rPr>
      </w:pPr>
      <w:r w:rsidRPr="00EA15F5">
        <w:rPr>
          <w:sz w:val="20"/>
          <w:szCs w:val="20"/>
        </w:rPr>
        <w:t>DPRA</w:t>
      </w:r>
      <w:r>
        <w:rPr>
          <w:sz w:val="20"/>
          <w:szCs w:val="20"/>
        </w:rPr>
        <w:t xml:space="preserve">, </w:t>
      </w:r>
      <w:r w:rsidRPr="00EA15F5">
        <w:rPr>
          <w:sz w:val="20"/>
          <w:szCs w:val="20"/>
        </w:rPr>
        <w:t>direct peptide reactivity assay; h-CLAT</w:t>
      </w:r>
      <w:r>
        <w:rPr>
          <w:sz w:val="20"/>
          <w:szCs w:val="20"/>
        </w:rPr>
        <w:t xml:space="preserve">, </w:t>
      </w:r>
      <w:r w:rsidRPr="00EA15F5">
        <w:rPr>
          <w:sz w:val="20"/>
          <w:szCs w:val="20"/>
        </w:rPr>
        <w:t xml:space="preserve">human cell line activation test; </w:t>
      </w:r>
      <w:r>
        <w:rPr>
          <w:sz w:val="20"/>
          <w:szCs w:val="20"/>
        </w:rPr>
        <w:t xml:space="preserve">ICCVAM, Interagency Coordinating Committee on the Validation of Alternative Methods; </w:t>
      </w:r>
      <w:r w:rsidRPr="00EA15F5">
        <w:rPr>
          <w:sz w:val="20"/>
          <w:szCs w:val="20"/>
        </w:rPr>
        <w:t>LLNA</w:t>
      </w:r>
      <w:r>
        <w:rPr>
          <w:sz w:val="20"/>
          <w:szCs w:val="20"/>
        </w:rPr>
        <w:t xml:space="preserve">, </w:t>
      </w:r>
      <w:r w:rsidRPr="00EA15F5">
        <w:rPr>
          <w:sz w:val="20"/>
          <w:szCs w:val="20"/>
        </w:rPr>
        <w:t>murine local lymph node assay; NICEATM</w:t>
      </w:r>
      <w:r>
        <w:rPr>
          <w:sz w:val="20"/>
          <w:szCs w:val="20"/>
        </w:rPr>
        <w:t xml:space="preserve">, </w:t>
      </w:r>
      <w:r w:rsidRPr="00EA15F5">
        <w:rPr>
          <w:rFonts w:cs="Times New Roman"/>
          <w:sz w:val="20"/>
          <w:szCs w:val="20"/>
        </w:rPr>
        <w:t>National Toxicology Program Interagency Center for the Evaluation of Alternative Toxicological Methods</w:t>
      </w:r>
      <w:r>
        <w:rPr>
          <w:rFonts w:cs="Times New Roman"/>
          <w:sz w:val="20"/>
          <w:szCs w:val="20"/>
        </w:rPr>
        <w:t>.</w:t>
      </w:r>
    </w:p>
    <w:sectPr w:rsidR="004817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027D" w14:textId="77777777" w:rsidR="00C741F1" w:rsidRDefault="00C741F1" w:rsidP="00666893">
      <w:pPr>
        <w:spacing w:after="0" w:line="240" w:lineRule="auto"/>
      </w:pPr>
      <w:r>
        <w:separator/>
      </w:r>
    </w:p>
  </w:endnote>
  <w:endnote w:type="continuationSeparator" w:id="0">
    <w:p w14:paraId="1FA35A0F" w14:textId="77777777" w:rsidR="00C741F1" w:rsidRDefault="00C741F1" w:rsidP="0066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E50A" w14:textId="3EDD1D77" w:rsidR="00F456AF" w:rsidRDefault="00F456AF">
    <w:pPr>
      <w:pStyle w:val="Footer"/>
      <w:jc w:val="center"/>
    </w:pPr>
  </w:p>
  <w:p w14:paraId="6E182D09" w14:textId="77777777" w:rsidR="00F456AF" w:rsidRDefault="00F4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73D6" w14:textId="77777777" w:rsidR="00C741F1" w:rsidRDefault="00C741F1" w:rsidP="00666893">
      <w:pPr>
        <w:spacing w:after="0" w:line="240" w:lineRule="auto"/>
      </w:pPr>
      <w:r>
        <w:separator/>
      </w:r>
    </w:p>
  </w:footnote>
  <w:footnote w:type="continuationSeparator" w:id="0">
    <w:p w14:paraId="7402483F" w14:textId="77777777" w:rsidR="00C741F1" w:rsidRDefault="00C741F1" w:rsidP="00666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AD"/>
    <w:rsid w:val="0002605C"/>
    <w:rsid w:val="00045997"/>
    <w:rsid w:val="000F7426"/>
    <w:rsid w:val="00144C37"/>
    <w:rsid w:val="0017015C"/>
    <w:rsid w:val="00194F09"/>
    <w:rsid w:val="001F3C31"/>
    <w:rsid w:val="00204431"/>
    <w:rsid w:val="00273E42"/>
    <w:rsid w:val="00296F41"/>
    <w:rsid w:val="002C0F47"/>
    <w:rsid w:val="00314A3D"/>
    <w:rsid w:val="00340320"/>
    <w:rsid w:val="003418FE"/>
    <w:rsid w:val="003C5521"/>
    <w:rsid w:val="00422DEB"/>
    <w:rsid w:val="00432B23"/>
    <w:rsid w:val="00473D62"/>
    <w:rsid w:val="004817AD"/>
    <w:rsid w:val="00484445"/>
    <w:rsid w:val="00484C84"/>
    <w:rsid w:val="004A2DCA"/>
    <w:rsid w:val="004A6F27"/>
    <w:rsid w:val="004A79FF"/>
    <w:rsid w:val="004C4680"/>
    <w:rsid w:val="0050029B"/>
    <w:rsid w:val="0057226D"/>
    <w:rsid w:val="00572C89"/>
    <w:rsid w:val="005B09D6"/>
    <w:rsid w:val="00666893"/>
    <w:rsid w:val="00695C5C"/>
    <w:rsid w:val="006A6A13"/>
    <w:rsid w:val="006E4B25"/>
    <w:rsid w:val="00766EB0"/>
    <w:rsid w:val="007808BD"/>
    <w:rsid w:val="00785713"/>
    <w:rsid w:val="00790FE4"/>
    <w:rsid w:val="00797655"/>
    <w:rsid w:val="007E1B01"/>
    <w:rsid w:val="007F0E11"/>
    <w:rsid w:val="00862CDE"/>
    <w:rsid w:val="008C3EF8"/>
    <w:rsid w:val="008E6707"/>
    <w:rsid w:val="00946CAB"/>
    <w:rsid w:val="009D2780"/>
    <w:rsid w:val="009D51C4"/>
    <w:rsid w:val="009E3744"/>
    <w:rsid w:val="00A47B69"/>
    <w:rsid w:val="00A55D47"/>
    <w:rsid w:val="00AD5973"/>
    <w:rsid w:val="00B07F3C"/>
    <w:rsid w:val="00B317A2"/>
    <w:rsid w:val="00BB3A82"/>
    <w:rsid w:val="00BC0B24"/>
    <w:rsid w:val="00BD3924"/>
    <w:rsid w:val="00BF0A39"/>
    <w:rsid w:val="00C3423C"/>
    <w:rsid w:val="00C35347"/>
    <w:rsid w:val="00C45649"/>
    <w:rsid w:val="00C6576F"/>
    <w:rsid w:val="00C67C70"/>
    <w:rsid w:val="00C741F1"/>
    <w:rsid w:val="00CD0EDD"/>
    <w:rsid w:val="00CF677B"/>
    <w:rsid w:val="00D64B20"/>
    <w:rsid w:val="00D66F08"/>
    <w:rsid w:val="00D71ECE"/>
    <w:rsid w:val="00D73400"/>
    <w:rsid w:val="00DC66FD"/>
    <w:rsid w:val="00EE73FB"/>
    <w:rsid w:val="00F10ADC"/>
    <w:rsid w:val="00F20820"/>
    <w:rsid w:val="00F42282"/>
    <w:rsid w:val="00F456AF"/>
    <w:rsid w:val="00F66C7A"/>
    <w:rsid w:val="00F953C5"/>
    <w:rsid w:val="00F96918"/>
    <w:rsid w:val="00F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56F6"/>
  <w15:chartTrackingRefBased/>
  <w15:docId w15:val="{2CCD4AA4-7668-41C3-888B-8FA11F97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7A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48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7AD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7AD"/>
    <w:rPr>
      <w:sz w:val="20"/>
      <w:szCs w:val="20"/>
    </w:rPr>
  </w:style>
  <w:style w:type="paragraph" w:customStyle="1" w:styleId="Poster-TableText">
    <w:name w:val="Poster-TableText"/>
    <w:rsid w:val="004817AD"/>
    <w:pPr>
      <w:tabs>
        <w:tab w:val="left" w:pos="1008"/>
      </w:tabs>
      <w:spacing w:before="80" w:after="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342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3C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3C"/>
    <w:rPr>
      <w:rFonts w:ascii="Times New Roman" w:hAnsi="Times New Roman"/>
      <w:b/>
      <w:bCs/>
      <w:sz w:val="20"/>
      <w:szCs w:val="20"/>
    </w:rPr>
  </w:style>
  <w:style w:type="paragraph" w:customStyle="1" w:styleId="TableText">
    <w:name w:val="Table Text"/>
    <w:rsid w:val="00296F41"/>
    <w:pPr>
      <w:tabs>
        <w:tab w:val="left" w:pos="1008"/>
      </w:tabs>
      <w:spacing w:before="80" w:after="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6C1C-EE85-4BB3-89F1-BC51E471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Bell</dc:creator>
  <cp:keywords/>
  <dc:description/>
  <cp:lastModifiedBy>Jackson, Marcus (NIH/NIEHS) [C]</cp:lastModifiedBy>
  <cp:revision>5</cp:revision>
  <cp:lastPrinted>2016-09-23T19:53:00Z</cp:lastPrinted>
  <dcterms:created xsi:type="dcterms:W3CDTF">2018-05-04T14:42:00Z</dcterms:created>
  <dcterms:modified xsi:type="dcterms:W3CDTF">2018-05-04T15:58:00Z</dcterms:modified>
</cp:coreProperties>
</file>