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1AF2" w14:textId="77777777" w:rsidR="009F6D6D" w:rsidRDefault="009F6D6D" w:rsidP="009F6D6D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SUPPORTING INFORMATION</w:t>
      </w:r>
    </w:p>
    <w:p w14:paraId="5C11BB9B" w14:textId="77777777" w:rsidR="007B366C" w:rsidRDefault="007B366C" w:rsidP="003F140F">
      <w:pPr>
        <w:outlineLvl w:val="0"/>
        <w:rPr>
          <w:rFonts w:ascii="Times New Roman" w:hAnsi="Times New Roman" w:cs="Times New Roman"/>
          <w:b/>
        </w:rPr>
      </w:pPr>
    </w:p>
    <w:p w14:paraId="0279A004" w14:textId="6C8C43CB" w:rsidR="008C43A3" w:rsidRPr="00691904" w:rsidRDefault="008C43A3" w:rsidP="003F140F">
      <w:pPr>
        <w:outlineLvl w:val="0"/>
        <w:rPr>
          <w:rFonts w:ascii="Times New Roman" w:hAnsi="Times New Roman" w:cs="Times New Roman"/>
          <w:b/>
        </w:rPr>
      </w:pPr>
      <w:r w:rsidRPr="00691904">
        <w:rPr>
          <w:rFonts w:ascii="Times New Roman" w:hAnsi="Times New Roman" w:cs="Times New Roman"/>
          <w:b/>
        </w:rPr>
        <w:t>Title</w:t>
      </w:r>
    </w:p>
    <w:p w14:paraId="69B46CB9" w14:textId="0646737E" w:rsidR="0078286B" w:rsidRPr="00691904" w:rsidRDefault="0078286B">
      <w:pPr>
        <w:rPr>
          <w:rFonts w:ascii="Times New Roman" w:hAnsi="Times New Roman" w:cs="Times New Roman"/>
        </w:rPr>
      </w:pPr>
      <w:r w:rsidRPr="00691904">
        <w:rPr>
          <w:rFonts w:ascii="Times New Roman" w:hAnsi="Times New Roman" w:cs="Times New Roman"/>
        </w:rPr>
        <w:t xml:space="preserve">Black Cohosh </w:t>
      </w:r>
      <w:r w:rsidR="004358F7">
        <w:rPr>
          <w:rFonts w:ascii="Times New Roman" w:hAnsi="Times New Roman" w:cs="Times New Roman"/>
        </w:rPr>
        <w:t xml:space="preserve">Botanical </w:t>
      </w:r>
      <w:r w:rsidRPr="00691904">
        <w:rPr>
          <w:rFonts w:ascii="Times New Roman" w:hAnsi="Times New Roman" w:cs="Times New Roman"/>
        </w:rPr>
        <w:t>Extracts and Powders induce Micronuclei, a Biomarker of Genetic Damage, in Human Cells</w:t>
      </w:r>
    </w:p>
    <w:p w14:paraId="3CCBBC67" w14:textId="0198F2A0" w:rsidR="009A5601" w:rsidRPr="00691904" w:rsidRDefault="009A5601" w:rsidP="003F140F">
      <w:pPr>
        <w:outlineLvl w:val="0"/>
        <w:rPr>
          <w:rFonts w:ascii="Times New Roman" w:hAnsi="Times New Roman" w:cs="Times New Roman"/>
          <w:b/>
        </w:rPr>
      </w:pPr>
      <w:r w:rsidRPr="00691904">
        <w:rPr>
          <w:rFonts w:ascii="Times New Roman" w:hAnsi="Times New Roman" w:cs="Times New Roman"/>
          <w:b/>
        </w:rPr>
        <w:t>Authors</w:t>
      </w:r>
      <w:r w:rsidR="008C43A3" w:rsidRPr="00691904">
        <w:rPr>
          <w:rFonts w:ascii="Times New Roman" w:hAnsi="Times New Roman" w:cs="Times New Roman"/>
          <w:b/>
        </w:rPr>
        <w:t xml:space="preserve"> </w:t>
      </w:r>
    </w:p>
    <w:p w14:paraId="6F077F60" w14:textId="3FFB8108" w:rsidR="00F22DBB" w:rsidRPr="00D82BDA" w:rsidRDefault="008C43A3" w:rsidP="00F22DBB">
      <w:pPr>
        <w:rPr>
          <w:rFonts w:ascii="Times New Roman" w:hAnsi="Times New Roman" w:cs="Times New Roman"/>
        </w:rPr>
      </w:pPr>
      <w:r w:rsidRPr="00691904">
        <w:rPr>
          <w:rFonts w:ascii="Times New Roman" w:hAnsi="Times New Roman" w:cs="Times New Roman"/>
        </w:rPr>
        <w:t xml:space="preserve">Stephanie L. Smith-Roe, </w:t>
      </w:r>
      <w:r w:rsidR="009A5601" w:rsidRPr="00691904">
        <w:rPr>
          <w:rFonts w:ascii="Times New Roman" w:hAnsi="Times New Roman" w:cs="Times New Roman"/>
        </w:rPr>
        <w:t>Carol D. Swartz</w:t>
      </w:r>
      <w:r w:rsidR="004F7563" w:rsidRPr="00691904">
        <w:rPr>
          <w:rFonts w:ascii="Times New Roman" w:hAnsi="Times New Roman" w:cs="Times New Roman"/>
        </w:rPr>
        <w:t>, Kim</w:t>
      </w:r>
      <w:r w:rsidR="00614961" w:rsidRPr="00691904">
        <w:rPr>
          <w:rFonts w:ascii="Times New Roman" w:hAnsi="Times New Roman" w:cs="Times New Roman"/>
        </w:rPr>
        <w:t xml:space="preserve"> G.</w:t>
      </w:r>
      <w:r w:rsidR="004F7563" w:rsidRPr="00691904">
        <w:rPr>
          <w:rFonts w:ascii="Times New Roman" w:hAnsi="Times New Roman" w:cs="Times New Roman"/>
        </w:rPr>
        <w:t xml:space="preserve"> Shepard,</w:t>
      </w:r>
      <w:r w:rsidR="009A5601" w:rsidRPr="00691904">
        <w:rPr>
          <w:rFonts w:ascii="Times New Roman" w:hAnsi="Times New Roman" w:cs="Times New Roman"/>
        </w:rPr>
        <w:t xml:space="preserve"> </w:t>
      </w:r>
      <w:r w:rsidR="00B60AFC" w:rsidRPr="00691904">
        <w:rPr>
          <w:rFonts w:ascii="Times New Roman" w:hAnsi="Times New Roman" w:cs="Times New Roman"/>
        </w:rPr>
        <w:t>Stev</w:t>
      </w:r>
      <w:r w:rsidR="000326E9" w:rsidRPr="00691904">
        <w:rPr>
          <w:rFonts w:ascii="Times New Roman" w:hAnsi="Times New Roman" w:cs="Times New Roman"/>
        </w:rPr>
        <w:t>en</w:t>
      </w:r>
      <w:r w:rsidR="00F22866" w:rsidRPr="00691904">
        <w:rPr>
          <w:rFonts w:ascii="Times New Roman" w:hAnsi="Times New Roman" w:cs="Times New Roman"/>
        </w:rPr>
        <w:t xml:space="preserve"> M.</w:t>
      </w:r>
      <w:r w:rsidR="000326E9" w:rsidRPr="00691904">
        <w:rPr>
          <w:rFonts w:ascii="Times New Roman" w:hAnsi="Times New Roman" w:cs="Times New Roman"/>
        </w:rPr>
        <w:t xml:space="preserve"> Bryce, Stephen</w:t>
      </w:r>
      <w:r w:rsidR="00F22866" w:rsidRPr="00691904">
        <w:rPr>
          <w:rFonts w:ascii="Times New Roman" w:hAnsi="Times New Roman" w:cs="Times New Roman"/>
        </w:rPr>
        <w:t xml:space="preserve"> D.</w:t>
      </w:r>
      <w:r w:rsidR="000326E9" w:rsidRPr="00691904">
        <w:rPr>
          <w:rFonts w:ascii="Times New Roman" w:hAnsi="Times New Roman" w:cs="Times New Roman"/>
        </w:rPr>
        <w:t xml:space="preserve"> </w:t>
      </w:r>
      <w:proofErr w:type="spellStart"/>
      <w:r w:rsidR="000326E9" w:rsidRPr="00691904">
        <w:rPr>
          <w:rFonts w:ascii="Times New Roman" w:hAnsi="Times New Roman" w:cs="Times New Roman"/>
        </w:rPr>
        <w:t>Dertinger</w:t>
      </w:r>
      <w:proofErr w:type="spellEnd"/>
      <w:r w:rsidR="000326E9" w:rsidRPr="00691904">
        <w:rPr>
          <w:rFonts w:ascii="Times New Roman" w:hAnsi="Times New Roman" w:cs="Times New Roman"/>
        </w:rPr>
        <w:t>,</w:t>
      </w:r>
      <w:r w:rsidR="00472912" w:rsidRPr="00691904">
        <w:rPr>
          <w:rFonts w:ascii="Times New Roman" w:hAnsi="Times New Roman" w:cs="Times New Roman"/>
        </w:rPr>
        <w:t xml:space="preserve"> </w:t>
      </w:r>
      <w:proofErr w:type="spellStart"/>
      <w:r w:rsidR="006A7334" w:rsidRPr="00691904">
        <w:rPr>
          <w:rFonts w:ascii="Times New Roman" w:hAnsi="Times New Roman" w:cs="Times New Roman"/>
        </w:rPr>
        <w:t>Suramya</w:t>
      </w:r>
      <w:proofErr w:type="spellEnd"/>
      <w:r w:rsidR="006A7334" w:rsidRPr="00691904">
        <w:rPr>
          <w:rFonts w:ascii="Times New Roman" w:hAnsi="Times New Roman" w:cs="Times New Roman"/>
        </w:rPr>
        <w:t xml:space="preserve"> </w:t>
      </w:r>
      <w:proofErr w:type="spellStart"/>
      <w:r w:rsidR="006A7334" w:rsidRPr="00691904">
        <w:rPr>
          <w:rFonts w:ascii="Times New Roman" w:hAnsi="Times New Roman" w:cs="Times New Roman"/>
        </w:rPr>
        <w:t>Waidyanatha</w:t>
      </w:r>
      <w:proofErr w:type="spellEnd"/>
      <w:r w:rsidR="006A7334" w:rsidRPr="00691904">
        <w:rPr>
          <w:rFonts w:ascii="Times New Roman" w:hAnsi="Times New Roman" w:cs="Times New Roman"/>
        </w:rPr>
        <w:t xml:space="preserve">, </w:t>
      </w:r>
      <w:r w:rsidR="0079416F" w:rsidRPr="00691904">
        <w:rPr>
          <w:rFonts w:ascii="Times New Roman" w:hAnsi="Times New Roman" w:cs="Times New Roman"/>
        </w:rPr>
        <w:t xml:space="preserve">Grace E. Kissling, </w:t>
      </w:r>
      <w:r w:rsidR="006A7334" w:rsidRPr="00691904">
        <w:rPr>
          <w:rFonts w:ascii="Times New Roman" w:hAnsi="Times New Roman" w:cs="Times New Roman"/>
        </w:rPr>
        <w:t>Scott S. Auerbach,</w:t>
      </w:r>
      <w:r w:rsidR="000326E9" w:rsidRPr="00691904">
        <w:rPr>
          <w:rFonts w:ascii="Times New Roman" w:hAnsi="Times New Roman" w:cs="Times New Roman"/>
        </w:rPr>
        <w:t xml:space="preserve"> </w:t>
      </w:r>
      <w:r w:rsidR="009A5601" w:rsidRPr="00691904">
        <w:rPr>
          <w:rFonts w:ascii="Times New Roman" w:hAnsi="Times New Roman" w:cs="Times New Roman"/>
        </w:rPr>
        <w:t>Kristine L. Witt</w:t>
      </w:r>
    </w:p>
    <w:p w14:paraId="07A3C04F" w14:textId="749D5000" w:rsidR="002E78C8" w:rsidRDefault="002E78C8" w:rsidP="00FA1772">
      <w:pPr>
        <w:spacing w:after="120"/>
        <w:rPr>
          <w:rFonts w:ascii="Times New Roman" w:hAnsi="Times New Roman" w:cs="Times New Roman"/>
          <w:b/>
        </w:rPr>
      </w:pPr>
    </w:p>
    <w:p w14:paraId="521315BF" w14:textId="09887DC0" w:rsidR="00FA1772" w:rsidRDefault="00FA1772" w:rsidP="00671D7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of Contents</w:t>
      </w:r>
    </w:p>
    <w:p w14:paraId="544CEEAA" w14:textId="77777777" w:rsidR="0054712D" w:rsidRDefault="0054712D" w:rsidP="00671D7B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720"/>
      </w:tblGrid>
      <w:tr w:rsidR="00671D7B" w14:paraId="7B7FA999" w14:textId="77777777" w:rsidTr="00D50924">
        <w:tc>
          <w:tcPr>
            <w:tcW w:w="4860" w:type="dxa"/>
          </w:tcPr>
          <w:p w14:paraId="2CB17643" w14:textId="2F939C3E" w:rsidR="00671D7B" w:rsidRDefault="00671D7B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Page</w:t>
            </w:r>
          </w:p>
        </w:tc>
        <w:tc>
          <w:tcPr>
            <w:tcW w:w="720" w:type="dxa"/>
          </w:tcPr>
          <w:p w14:paraId="2F12B392" w14:textId="09B53876" w:rsidR="00671D7B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1772" w14:paraId="65824D30" w14:textId="77777777" w:rsidTr="00D50924">
        <w:tc>
          <w:tcPr>
            <w:tcW w:w="4860" w:type="dxa"/>
          </w:tcPr>
          <w:p w14:paraId="68973E43" w14:textId="220802F1" w:rsidR="00FA1772" w:rsidRDefault="00FA1772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and Methods for Figure S1</w:t>
            </w:r>
          </w:p>
        </w:tc>
        <w:tc>
          <w:tcPr>
            <w:tcW w:w="720" w:type="dxa"/>
          </w:tcPr>
          <w:p w14:paraId="0D3C8335" w14:textId="1A31AB43" w:rsidR="00FA1772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1772" w14:paraId="0FF87D80" w14:textId="77777777" w:rsidTr="00D50924">
        <w:tc>
          <w:tcPr>
            <w:tcW w:w="4860" w:type="dxa"/>
          </w:tcPr>
          <w:p w14:paraId="52D80879" w14:textId="1E538295" w:rsidR="00FA1772" w:rsidRDefault="00FA1772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Results for Figure S1</w:t>
            </w:r>
          </w:p>
        </w:tc>
        <w:tc>
          <w:tcPr>
            <w:tcW w:w="720" w:type="dxa"/>
          </w:tcPr>
          <w:p w14:paraId="44C9E239" w14:textId="097325F3" w:rsidR="00FA1772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1772" w14:paraId="781CB17E" w14:textId="77777777" w:rsidTr="00D50924">
        <w:tc>
          <w:tcPr>
            <w:tcW w:w="4860" w:type="dxa"/>
          </w:tcPr>
          <w:p w14:paraId="4AF35457" w14:textId="1CE253A7" w:rsidR="00FA1772" w:rsidRDefault="00FA1772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 for Figure S1</w:t>
            </w:r>
          </w:p>
        </w:tc>
        <w:tc>
          <w:tcPr>
            <w:tcW w:w="720" w:type="dxa"/>
          </w:tcPr>
          <w:p w14:paraId="73F77A53" w14:textId="0C71F6C4" w:rsidR="00FA1772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1772" w14:paraId="1212557C" w14:textId="77777777" w:rsidTr="00D50924">
        <w:tc>
          <w:tcPr>
            <w:tcW w:w="4860" w:type="dxa"/>
          </w:tcPr>
          <w:p w14:paraId="7FD22BFA" w14:textId="0E510EC9" w:rsidR="00FA1772" w:rsidRDefault="00FA1772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 S1</w:t>
            </w:r>
          </w:p>
        </w:tc>
        <w:tc>
          <w:tcPr>
            <w:tcW w:w="720" w:type="dxa"/>
          </w:tcPr>
          <w:p w14:paraId="3CEE03BE" w14:textId="28E5F629" w:rsidR="00FA1772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1772" w14:paraId="2F4FBDC4" w14:textId="77777777" w:rsidTr="00D50924">
        <w:tc>
          <w:tcPr>
            <w:tcW w:w="4860" w:type="dxa"/>
          </w:tcPr>
          <w:p w14:paraId="64663822" w14:textId="56B0E1D3" w:rsidR="00FA1772" w:rsidRDefault="00FA1772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 S2</w:t>
            </w:r>
          </w:p>
        </w:tc>
        <w:tc>
          <w:tcPr>
            <w:tcW w:w="720" w:type="dxa"/>
          </w:tcPr>
          <w:p w14:paraId="40845222" w14:textId="35224589" w:rsidR="00FA1772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1772" w14:paraId="3B67C4D1" w14:textId="77777777" w:rsidTr="00D50924">
        <w:tc>
          <w:tcPr>
            <w:tcW w:w="4860" w:type="dxa"/>
          </w:tcPr>
          <w:p w14:paraId="212FD2C2" w14:textId="5AD44D51" w:rsidR="00FA1772" w:rsidRDefault="00FA1772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Figure S3</w:t>
            </w:r>
          </w:p>
        </w:tc>
        <w:tc>
          <w:tcPr>
            <w:tcW w:w="720" w:type="dxa"/>
          </w:tcPr>
          <w:p w14:paraId="42B52C0D" w14:textId="15C65D52" w:rsidR="00FA1772" w:rsidRDefault="00671D7B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B0630" w14:paraId="65224CB4" w14:textId="77777777" w:rsidTr="00D50924">
        <w:tc>
          <w:tcPr>
            <w:tcW w:w="4860" w:type="dxa"/>
          </w:tcPr>
          <w:p w14:paraId="520F9609" w14:textId="3C35D2CD" w:rsidR="009B0630" w:rsidRDefault="009B0630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</w:t>
            </w:r>
            <w:r w:rsidR="007578DA">
              <w:rPr>
                <w:rFonts w:ascii="Times New Roman" w:hAnsi="Times New Roman" w:cs="Times New Roman"/>
                <w:b/>
              </w:rPr>
              <w:t>eus Assay Tables 1, 2</w:t>
            </w:r>
          </w:p>
        </w:tc>
        <w:tc>
          <w:tcPr>
            <w:tcW w:w="720" w:type="dxa"/>
          </w:tcPr>
          <w:p w14:paraId="3AFBB382" w14:textId="00E1A560" w:rsidR="009B0630" w:rsidRDefault="009B0630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70F5" w14:paraId="55A70C61" w14:textId="77777777" w:rsidTr="00D50924">
        <w:tc>
          <w:tcPr>
            <w:tcW w:w="4860" w:type="dxa"/>
          </w:tcPr>
          <w:p w14:paraId="357745F4" w14:textId="5E76FADD" w:rsidR="00C570F5" w:rsidRDefault="007578DA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</w:t>
            </w:r>
            <w:r w:rsidR="00C570F5">
              <w:rPr>
                <w:rFonts w:ascii="Times New Roman" w:hAnsi="Times New Roman" w:cs="Times New Roman"/>
                <w:b/>
              </w:rPr>
              <w:t xml:space="preserve"> Tables </w:t>
            </w:r>
            <w:r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720" w:type="dxa"/>
          </w:tcPr>
          <w:p w14:paraId="3BC37D34" w14:textId="40AA6EA6" w:rsidR="00C570F5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570F5" w14:paraId="31ABB081" w14:textId="77777777" w:rsidTr="00D50924">
        <w:tc>
          <w:tcPr>
            <w:tcW w:w="4860" w:type="dxa"/>
          </w:tcPr>
          <w:p w14:paraId="7746DA20" w14:textId="4791D313" w:rsidR="00C570F5" w:rsidRDefault="007578DA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</w:t>
            </w:r>
            <w:r w:rsidR="00C570F5">
              <w:rPr>
                <w:rFonts w:ascii="Times New Roman" w:hAnsi="Times New Roman" w:cs="Times New Roman"/>
                <w:b/>
              </w:rPr>
              <w:t xml:space="preserve"> Tables </w:t>
            </w:r>
            <w:r>
              <w:rPr>
                <w:rFonts w:ascii="Times New Roman" w:hAnsi="Times New Roman" w:cs="Times New Roman"/>
                <w:b/>
              </w:rPr>
              <w:t>5, 6</w:t>
            </w:r>
          </w:p>
        </w:tc>
        <w:tc>
          <w:tcPr>
            <w:tcW w:w="720" w:type="dxa"/>
          </w:tcPr>
          <w:p w14:paraId="742B06AA" w14:textId="5A79D0F8" w:rsidR="00C570F5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570F5" w14:paraId="60F95BC9" w14:textId="77777777" w:rsidTr="00D50924">
        <w:tc>
          <w:tcPr>
            <w:tcW w:w="4860" w:type="dxa"/>
          </w:tcPr>
          <w:p w14:paraId="2EE99FFA" w14:textId="5A7BCB41" w:rsidR="00C570F5" w:rsidRDefault="007578DA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</w:t>
            </w:r>
            <w:r w:rsidR="00C570F5">
              <w:rPr>
                <w:rFonts w:ascii="Times New Roman" w:hAnsi="Times New Roman" w:cs="Times New Roman"/>
                <w:b/>
              </w:rPr>
              <w:t xml:space="preserve"> Tables </w:t>
            </w:r>
            <w:r>
              <w:rPr>
                <w:rFonts w:ascii="Times New Roman" w:hAnsi="Times New Roman" w:cs="Times New Roman"/>
                <w:b/>
              </w:rPr>
              <w:t>7, 8</w:t>
            </w:r>
          </w:p>
        </w:tc>
        <w:tc>
          <w:tcPr>
            <w:tcW w:w="720" w:type="dxa"/>
          </w:tcPr>
          <w:p w14:paraId="53AAF803" w14:textId="135A6D7B" w:rsidR="00C570F5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570F5" w14:paraId="1C9900B4" w14:textId="77777777" w:rsidTr="00D50924">
        <w:tc>
          <w:tcPr>
            <w:tcW w:w="4860" w:type="dxa"/>
          </w:tcPr>
          <w:p w14:paraId="1AAB1EB8" w14:textId="45866302" w:rsidR="00C570F5" w:rsidRDefault="007578DA" w:rsidP="00FA17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 Tables 9, 10</w:t>
            </w:r>
          </w:p>
        </w:tc>
        <w:tc>
          <w:tcPr>
            <w:tcW w:w="720" w:type="dxa"/>
          </w:tcPr>
          <w:p w14:paraId="31C63982" w14:textId="37513962" w:rsidR="00C570F5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578DA" w14:paraId="523F0E28" w14:textId="77777777" w:rsidTr="00D50924">
        <w:tc>
          <w:tcPr>
            <w:tcW w:w="4860" w:type="dxa"/>
          </w:tcPr>
          <w:p w14:paraId="63FEA431" w14:textId="354CF786" w:rsidR="007578DA" w:rsidRDefault="007578DA" w:rsidP="007578D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 Tables 11, 12</w:t>
            </w:r>
          </w:p>
        </w:tc>
        <w:tc>
          <w:tcPr>
            <w:tcW w:w="720" w:type="dxa"/>
          </w:tcPr>
          <w:p w14:paraId="3AEDDCDE" w14:textId="66087729" w:rsidR="007578DA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578DA" w14:paraId="7AB5565C" w14:textId="77777777" w:rsidTr="00D50924">
        <w:tc>
          <w:tcPr>
            <w:tcW w:w="4860" w:type="dxa"/>
          </w:tcPr>
          <w:p w14:paraId="0569D17F" w14:textId="64C0A180" w:rsidR="007578DA" w:rsidRDefault="007578DA" w:rsidP="007578D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 Tables 13, 14</w:t>
            </w:r>
          </w:p>
        </w:tc>
        <w:tc>
          <w:tcPr>
            <w:tcW w:w="720" w:type="dxa"/>
          </w:tcPr>
          <w:p w14:paraId="4796AE9B" w14:textId="7728EFE1" w:rsidR="007578DA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578DA" w14:paraId="1ECEF7A6" w14:textId="77777777" w:rsidTr="00D50924">
        <w:tc>
          <w:tcPr>
            <w:tcW w:w="4860" w:type="dxa"/>
          </w:tcPr>
          <w:p w14:paraId="191259E6" w14:textId="4D0092D3" w:rsidR="007578DA" w:rsidRDefault="007578DA" w:rsidP="007578D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Vitro Micronucleus Assay Tables 15, 16</w:t>
            </w:r>
          </w:p>
        </w:tc>
        <w:tc>
          <w:tcPr>
            <w:tcW w:w="720" w:type="dxa"/>
          </w:tcPr>
          <w:p w14:paraId="700F8785" w14:textId="217704AF" w:rsidR="007578DA" w:rsidRDefault="007578DA" w:rsidP="007578D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14:paraId="6FD86B28" w14:textId="12099897" w:rsidR="00671D7B" w:rsidRDefault="00671D7B">
      <w:pPr>
        <w:rPr>
          <w:rFonts w:ascii="Times New Roman" w:hAnsi="Times New Roman" w:cs="Times New Roman"/>
          <w:b/>
        </w:rPr>
      </w:pPr>
    </w:p>
    <w:p w14:paraId="5CAAC663" w14:textId="27F8A06B" w:rsidR="002A54D5" w:rsidRPr="007578DA" w:rsidRDefault="00671D7B" w:rsidP="00757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9F6D6D">
        <w:rPr>
          <w:rFonts w:ascii="Times New Roman" w:eastAsia="Times New Roman" w:hAnsi="Times New Roman" w:cs="Times New Roman"/>
          <w:b/>
          <w:color w:val="000000"/>
        </w:rPr>
        <w:lastRenderedPageBreak/>
        <w:t>SUPPORTING INFORMATION</w:t>
      </w:r>
    </w:p>
    <w:p w14:paraId="2BC34898" w14:textId="0619536F" w:rsidR="00A500BE" w:rsidRDefault="00A500BE" w:rsidP="003F140F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Materials and Methods for Figure S1</w:t>
      </w:r>
    </w:p>
    <w:p w14:paraId="3F58A300" w14:textId="52C2EDAE" w:rsidR="00A500BE" w:rsidRPr="00A500BE" w:rsidRDefault="00A500BE" w:rsidP="00A500BE">
      <w:pPr>
        <w:rPr>
          <w:rFonts w:ascii="Times New Roman" w:eastAsia="Times New Roman" w:hAnsi="Times New Roman" w:cs="Times New Roman"/>
          <w:color w:val="000000"/>
        </w:rPr>
      </w:pPr>
      <w:r w:rsidRPr="00A500BE">
        <w:rPr>
          <w:rFonts w:ascii="Times New Roman" w:eastAsia="Times New Roman" w:hAnsi="Times New Roman" w:cs="Times New Roman"/>
          <w:color w:val="000000"/>
        </w:rPr>
        <w:t xml:space="preserve">TK6 cells were grown in 0, 7.5, 15, 30, 60, 90, 120, or 3000 nM FA in 12-well plates for 24 or 120 h. Cells were sub-cultured at 72 h for the </w:t>
      </w:r>
      <w:proofErr w:type="gramStart"/>
      <w:r w:rsidRPr="00A500BE">
        <w:rPr>
          <w:rFonts w:ascii="Times New Roman" w:eastAsia="Times New Roman" w:hAnsi="Times New Roman" w:cs="Times New Roman"/>
          <w:color w:val="000000"/>
        </w:rPr>
        <w:t>120 h</w:t>
      </w:r>
      <w:proofErr w:type="gramEnd"/>
      <w:r w:rsidRPr="00A500BE">
        <w:rPr>
          <w:rFonts w:ascii="Times New Roman" w:eastAsia="Times New Roman" w:hAnsi="Times New Roman" w:cs="Times New Roman"/>
          <w:color w:val="000000"/>
        </w:rPr>
        <w:t xml:space="preserve"> time point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 </w:t>
      </w:r>
      <w:r w:rsidRPr="00A500BE">
        <w:rPr>
          <w:rFonts w:ascii="Times New Roman" w:eastAsia="Times New Roman" w:hAnsi="Times New Roman" w:cs="Times New Roman"/>
          <w:color w:val="000000"/>
        </w:rPr>
        <w:t xml:space="preserve">Cells were assessed for induction of MN using the </w:t>
      </w:r>
      <w:r w:rsidRPr="00A500BE">
        <w:rPr>
          <w:rFonts w:ascii="Times New Roman" w:eastAsia="Times New Roman" w:hAnsi="Times New Roman" w:cs="Times New Roman"/>
          <w:i/>
          <w:iCs/>
          <w:color w:val="000000"/>
        </w:rPr>
        <w:t>In Vitro</w:t>
      </w:r>
      <w:r w:rsidR="006A68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A685A">
        <w:rPr>
          <w:rFonts w:ascii="Times New Roman" w:eastAsia="Times New Roman" w:hAnsi="Times New Roman" w:cs="Times New Roman"/>
          <w:color w:val="000000"/>
        </w:rPr>
        <w:t>MicroFlow</w:t>
      </w:r>
      <w:proofErr w:type="spellEnd"/>
      <w:r w:rsidR="006A685A">
        <w:rPr>
          <w:rFonts w:ascii="Times New Roman" w:eastAsia="Times New Roman" w:hAnsi="Times New Roman" w:cs="Times New Roman"/>
          <w:color w:val="000000"/>
        </w:rPr>
        <w:t>®</w:t>
      </w:r>
      <w:r w:rsidRPr="00A500BE">
        <w:rPr>
          <w:rFonts w:ascii="Times New Roman" w:eastAsia="Times New Roman" w:hAnsi="Times New Roman" w:cs="Times New Roman"/>
          <w:color w:val="000000"/>
        </w:rPr>
        <w:t xml:space="preserve"> kit (</w:t>
      </w:r>
      <w:proofErr w:type="spellStart"/>
      <w:r w:rsidRPr="00A500BE">
        <w:rPr>
          <w:rFonts w:ascii="Times New Roman" w:eastAsia="Times New Roman" w:hAnsi="Times New Roman" w:cs="Times New Roman"/>
          <w:color w:val="000000"/>
        </w:rPr>
        <w:t>Litron</w:t>
      </w:r>
      <w:proofErr w:type="spellEnd"/>
      <w:r w:rsidRPr="00A500BE">
        <w:rPr>
          <w:rFonts w:ascii="Times New Roman" w:eastAsia="Times New Roman" w:hAnsi="Times New Roman" w:cs="Times New Roman"/>
          <w:color w:val="000000"/>
        </w:rPr>
        <w:t xml:space="preserve"> Laboratories, Rochester, NY), according to manufacturer’s instructions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Pr="00A500BE">
        <w:rPr>
          <w:rFonts w:ascii="Times New Roman" w:eastAsia="Times New Roman" w:hAnsi="Times New Roman" w:cs="Times New Roman"/>
          <w:color w:val="000000"/>
        </w:rPr>
        <w:t>This kit was also used to identify cells undergoing apoptosis and/or necrosis using a dual staining procedure in which the nuclear material only from cells with compromised membranes is stained with both dyes.</w:t>
      </w:r>
    </w:p>
    <w:p w14:paraId="2FD7DA20" w14:textId="3CB17E2D" w:rsidR="00A500BE" w:rsidRPr="00A500BE" w:rsidRDefault="00A500BE" w:rsidP="003F140F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500BE">
        <w:rPr>
          <w:rFonts w:ascii="Times New Roman" w:eastAsia="Times New Roman" w:hAnsi="Times New Roman" w:cs="Times New Roman"/>
          <w:b/>
          <w:color w:val="000000"/>
        </w:rPr>
        <w:t>Results for Figure S1</w:t>
      </w:r>
    </w:p>
    <w:p w14:paraId="3ECA9199" w14:textId="2A5CE8B0" w:rsidR="00C5388D" w:rsidRDefault="00FE5561" w:rsidP="00A500B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RPMI 1640 cell culture medium</w:t>
      </w:r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typically contains su</w:t>
      </w:r>
      <w:r w:rsidR="00C1210E">
        <w:rPr>
          <w:rFonts w:ascii="Times New Roman" w:eastAsia="Times New Roman" w:hAnsi="Times New Roman" w:cs="Times New Roman"/>
          <w:color w:val="000000"/>
        </w:rPr>
        <w:t>praphysiological amounts of FA.</w:t>
      </w:r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The RPMI 1640 used for routine culturing of TK6 cells by ILS, Inc. (Sigma-Aldrich, catalog # R8758) contains 3000 nM FA</w:t>
      </w:r>
      <w:r>
        <w:rPr>
          <w:rFonts w:ascii="Times New Roman" w:eastAsia="Times New Roman" w:hAnsi="Times New Roman" w:cs="Times New Roman"/>
          <w:color w:val="000000"/>
        </w:rPr>
        <w:t xml:space="preserve">, whereas the reference range for plasma folate levels for adults is 4.5 to 45 nM (concentrations greater than 12 nM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considered to be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normal</w:t>
      </w:r>
      <w:r w:rsidR="00647AB4">
        <w:rPr>
          <w:rFonts w:ascii="Times New Roman" w:eastAsia="Times New Roman" w:hAnsi="Times New Roman" w:cs="Times New Roman"/>
          <w:color w:val="000000"/>
        </w:rPr>
        <w:t>)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="00A500BE" w:rsidRPr="00A500BE">
        <w:rPr>
          <w:rFonts w:ascii="Times New Roman" w:eastAsia="Times New Roman" w:hAnsi="Times New Roman" w:cs="Times New Roman"/>
          <w:color w:val="000000"/>
        </w:rPr>
        <w:t>Previous work</w:t>
      </w:r>
      <w:r w:rsidR="00D72CB8">
        <w:rPr>
          <w:rFonts w:ascii="Times New Roman" w:eastAsia="Times New Roman" w:hAnsi="Times New Roman" w:cs="Times New Roman"/>
          <w:color w:val="000000"/>
        </w:rPr>
        <w:t xml:space="preserve"> by others </w:t>
      </w:r>
      <w:r w:rsidR="004406D6">
        <w:rPr>
          <w:rFonts w:ascii="Times New Roman" w:eastAsia="Times New Roman" w:hAnsi="Times New Roman" w:cs="Times New Roman"/>
          <w:color w:val="000000"/>
        </w:rPr>
        <w:t>showed</w:t>
      </w:r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that MN are induced in human lymphocytes when cultured in defined medium containing</w:t>
      </w:r>
      <w:r w:rsidR="00CE5D30">
        <w:rPr>
          <w:rFonts w:ascii="Times New Roman" w:eastAsia="Times New Roman" w:hAnsi="Times New Roman" w:cs="Times New Roman"/>
          <w:color w:val="000000"/>
        </w:rPr>
        <w:t xml:space="preserve"> very</w:t>
      </w:r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low levels of FA, but baseline levels of MN were similar in cultures of human lymphocytes grown in 120 nM FA compared to whole blood and short-term </w:t>
      </w:r>
      <w:r>
        <w:rPr>
          <w:rFonts w:ascii="Times New Roman" w:eastAsia="Times New Roman" w:hAnsi="Times New Roman" w:cs="Times New Roman"/>
          <w:color w:val="000000"/>
        </w:rPr>
        <w:t xml:space="preserve">lymphocyte </w:t>
      </w:r>
      <w:r w:rsidR="00A500BE" w:rsidRPr="00A500BE">
        <w:rPr>
          <w:rFonts w:ascii="Times New Roman" w:eastAsia="Times New Roman" w:hAnsi="Times New Roman" w:cs="Times New Roman"/>
          <w:color w:val="000000"/>
        </w:rPr>
        <w:t>cultures (</w:t>
      </w:r>
      <w:proofErr w:type="spellStart"/>
      <w:r w:rsidR="00A500BE" w:rsidRPr="00A500BE">
        <w:rPr>
          <w:rFonts w:ascii="Times New Roman" w:eastAsia="Times New Roman" w:hAnsi="Times New Roman" w:cs="Times New Roman"/>
          <w:color w:val="000000"/>
        </w:rPr>
        <w:t>Crott</w:t>
      </w:r>
      <w:proofErr w:type="spellEnd"/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et al., 2001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).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="00A500BE" w:rsidRPr="00A500BE">
        <w:rPr>
          <w:rFonts w:ascii="Times New Roman" w:eastAsia="Times New Roman" w:hAnsi="Times New Roman" w:cs="Times New Roman"/>
          <w:color w:val="000000"/>
        </w:rPr>
        <w:t>Also, cells become dependent on the amount of FA in culture after several rounds of cell division (</w:t>
      </w:r>
      <w:proofErr w:type="spellStart"/>
      <w:r w:rsidR="00A500BE" w:rsidRPr="00A500BE">
        <w:rPr>
          <w:rFonts w:ascii="Times New Roman" w:eastAsia="Times New Roman" w:hAnsi="Times New Roman" w:cs="Times New Roman"/>
          <w:color w:val="000000"/>
        </w:rPr>
        <w:t>Libbus</w:t>
      </w:r>
      <w:proofErr w:type="spellEnd"/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et al., 1990; </w:t>
      </w:r>
      <w:proofErr w:type="spellStart"/>
      <w:r w:rsidR="00A500BE" w:rsidRPr="00A500BE">
        <w:rPr>
          <w:rFonts w:ascii="Times New Roman" w:eastAsia="Times New Roman" w:hAnsi="Times New Roman" w:cs="Times New Roman"/>
          <w:color w:val="000000"/>
        </w:rPr>
        <w:t>Crott</w:t>
      </w:r>
      <w:proofErr w:type="spellEnd"/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et al., 2001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).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To test the effects of cohosh samples using a more physiologically relevant amount of folic acid, we cultured TK6 cells in defined medium containing 0, 7.5, 15, 30, 60, 90, 120, or 3000 nM FA for 24 or 120 h and determined %MN and the percent of apoptotic and necrotic (dying) cells (Figure </w:t>
      </w:r>
      <w:r w:rsidR="00DE0991">
        <w:rPr>
          <w:rFonts w:ascii="Times New Roman" w:eastAsia="Times New Roman" w:hAnsi="Times New Roman" w:cs="Times New Roman"/>
          <w:color w:val="000000"/>
        </w:rPr>
        <w:t>S</w:t>
      </w:r>
      <w:r w:rsidR="00A500BE" w:rsidRPr="00A500BE">
        <w:rPr>
          <w:rFonts w:ascii="Times New Roman" w:eastAsia="Times New Roman" w:hAnsi="Times New Roman" w:cs="Times New Roman"/>
          <w:color w:val="000000"/>
        </w:rPr>
        <w:t>1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).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="00A500BE" w:rsidRPr="00A500BE">
        <w:rPr>
          <w:rFonts w:ascii="Times New Roman" w:eastAsia="Times New Roman" w:hAnsi="Times New Roman" w:cs="Times New Roman"/>
          <w:color w:val="000000"/>
        </w:rPr>
        <w:t>There were no significant differences between %MN and the percent of dying cells for</w:t>
      </w:r>
      <w:r>
        <w:rPr>
          <w:rFonts w:ascii="Times New Roman" w:eastAsia="Times New Roman" w:hAnsi="Times New Roman" w:cs="Times New Roman"/>
          <w:color w:val="000000"/>
        </w:rPr>
        <w:t xml:space="preserve"> TK6 cells</w:t>
      </w:r>
      <w:r w:rsidR="00A500BE" w:rsidRPr="00A500BE">
        <w:rPr>
          <w:rFonts w:ascii="Times New Roman" w:eastAsia="Times New Roman" w:hAnsi="Times New Roman" w:cs="Times New Roman"/>
          <w:color w:val="000000"/>
        </w:rPr>
        <w:t xml:space="preserve"> grown in 120 versus 3000 nM FA for 120 h. However, dose-dependent, significant increases in these measures became apparent when the concentration of FA dropped below 60 nM</w:t>
      </w:r>
      <w:r w:rsidR="00647AB4" w:rsidRPr="00A500BE">
        <w:rPr>
          <w:rFonts w:ascii="Times New Roman" w:eastAsia="Times New Roman" w:hAnsi="Times New Roman" w:cs="Times New Roman"/>
          <w:color w:val="000000"/>
        </w:rPr>
        <w:t>.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 </w:t>
      </w:r>
      <w:r w:rsidR="00A500BE" w:rsidRPr="00A500BE">
        <w:rPr>
          <w:rFonts w:ascii="Times New Roman" w:eastAsia="Times New Roman" w:hAnsi="Times New Roman" w:cs="Times New Roman"/>
          <w:color w:val="000000"/>
        </w:rPr>
        <w:t>Growth in various concentrations of FA did not affect the %MN or the percent of dying cells after 24 h of culture (data not shown).</w:t>
      </w:r>
      <w:r w:rsidR="004406D6">
        <w:rPr>
          <w:rFonts w:ascii="Times New Roman" w:eastAsia="Times New Roman" w:hAnsi="Times New Roman" w:cs="Times New Roman"/>
          <w:color w:val="000000"/>
        </w:rPr>
        <w:t xml:space="preserve"> Furthermore, 120 nM FA was sufficient to maintain</w:t>
      </w:r>
      <w:r w:rsidR="00764153">
        <w:rPr>
          <w:rFonts w:ascii="Times New Roman" w:eastAsia="Times New Roman" w:hAnsi="Times New Roman" w:cs="Times New Roman"/>
          <w:color w:val="000000"/>
        </w:rPr>
        <w:t xml:space="preserve"> TK6</w:t>
      </w:r>
      <w:r w:rsidR="004406D6">
        <w:rPr>
          <w:rFonts w:ascii="Times New Roman" w:eastAsia="Times New Roman" w:hAnsi="Times New Roman" w:cs="Times New Roman"/>
          <w:color w:val="000000"/>
        </w:rPr>
        <w:t xml:space="preserve"> cell doubling time</w:t>
      </w:r>
      <w:r w:rsidR="00764153">
        <w:rPr>
          <w:rFonts w:ascii="Times New Roman" w:eastAsia="Times New Roman" w:hAnsi="Times New Roman" w:cs="Times New Roman"/>
          <w:color w:val="000000"/>
        </w:rPr>
        <w:t xml:space="preserve"> (14 – 16 h)</w:t>
      </w:r>
      <w:r w:rsidR="004406D6">
        <w:rPr>
          <w:rFonts w:ascii="Times New Roman" w:eastAsia="Times New Roman" w:hAnsi="Times New Roman" w:cs="Times New Roman"/>
          <w:color w:val="000000"/>
        </w:rPr>
        <w:t>, whe</w:t>
      </w:r>
      <w:r w:rsidR="00764153">
        <w:rPr>
          <w:rFonts w:ascii="Times New Roman" w:eastAsia="Times New Roman" w:hAnsi="Times New Roman" w:cs="Times New Roman"/>
          <w:color w:val="000000"/>
        </w:rPr>
        <w:t xml:space="preserve">reas growth in concentrations </w:t>
      </w:r>
      <w:r w:rsidR="00764153">
        <w:rPr>
          <w:rFonts w:ascii="Times New Roman" w:eastAsia="Times New Roman" w:hAnsi="Times New Roman" w:cs="Times New Roman"/>
          <w:color w:val="000000"/>
        </w:rPr>
        <w:sym w:font="Symbol" w:char="F0A3"/>
      </w:r>
      <w:r w:rsidR="004406D6">
        <w:rPr>
          <w:rFonts w:ascii="Times New Roman" w:eastAsia="Times New Roman" w:hAnsi="Times New Roman" w:cs="Times New Roman"/>
          <w:color w:val="000000"/>
        </w:rPr>
        <w:t xml:space="preserve"> 60 nM </w:t>
      </w:r>
      <w:r w:rsidR="00764153">
        <w:rPr>
          <w:rFonts w:ascii="Times New Roman" w:eastAsia="Times New Roman" w:hAnsi="Times New Roman" w:cs="Times New Roman"/>
          <w:color w:val="000000"/>
        </w:rPr>
        <w:t xml:space="preserve">FA </w:t>
      </w:r>
      <w:r w:rsidR="004406D6">
        <w:rPr>
          <w:rFonts w:ascii="Times New Roman" w:eastAsia="Times New Roman" w:hAnsi="Times New Roman" w:cs="Times New Roman"/>
          <w:color w:val="000000"/>
        </w:rPr>
        <w:t>reduced cell growth (data not shown</w:t>
      </w:r>
      <w:r w:rsidR="00647AB4">
        <w:rPr>
          <w:rFonts w:ascii="Times New Roman" w:eastAsia="Times New Roman" w:hAnsi="Times New Roman" w:cs="Times New Roman"/>
          <w:color w:val="000000"/>
        </w:rPr>
        <w:t xml:space="preserve">). </w:t>
      </w:r>
      <w:r w:rsidR="00E71835">
        <w:rPr>
          <w:rFonts w:ascii="Times New Roman" w:eastAsia="Times New Roman" w:hAnsi="Times New Roman" w:cs="Times New Roman"/>
          <w:color w:val="000000"/>
        </w:rPr>
        <w:t>Taken together, although 120 nM FA is approximately 2.5 to 25.5-fold higher than the typical range of plasma FA for an adult, 120 nM FA maintains growth and prevents induction of MN in TK6 cells.</w:t>
      </w:r>
      <w:r w:rsidR="008154A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DB2FAD0" w14:textId="669E58EF" w:rsidR="004C789D" w:rsidRPr="004C789D" w:rsidRDefault="009F6D6D" w:rsidP="003F140F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Supporting Information</w:t>
      </w:r>
      <w:r w:rsidR="00671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C789D" w:rsidRPr="004C789D">
        <w:rPr>
          <w:rFonts w:ascii="Times New Roman" w:eastAsia="Times New Roman" w:hAnsi="Times New Roman" w:cs="Times New Roman"/>
          <w:b/>
          <w:color w:val="000000"/>
        </w:rPr>
        <w:t>References</w:t>
      </w:r>
    </w:p>
    <w:p w14:paraId="52651F19" w14:textId="4D3FBBCE" w:rsidR="004C789D" w:rsidRPr="00691904" w:rsidRDefault="004C789D" w:rsidP="004C789D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91904">
        <w:rPr>
          <w:rFonts w:ascii="Times New Roman" w:hAnsi="Times New Roman" w:cs="Times New Roman"/>
          <w:color w:val="000000" w:themeColor="text1"/>
        </w:rPr>
        <w:t>Crott</w:t>
      </w:r>
      <w:proofErr w:type="spellEnd"/>
      <w:r w:rsidRPr="00691904">
        <w:rPr>
          <w:rFonts w:ascii="Times New Roman" w:hAnsi="Times New Roman" w:cs="Times New Roman"/>
          <w:color w:val="000000" w:themeColor="text1"/>
        </w:rPr>
        <w:t xml:space="preserve"> JW, </w:t>
      </w:r>
      <w:proofErr w:type="spellStart"/>
      <w:r w:rsidRPr="00691904">
        <w:rPr>
          <w:rFonts w:ascii="Times New Roman" w:hAnsi="Times New Roman" w:cs="Times New Roman"/>
          <w:color w:val="000000" w:themeColor="text1"/>
        </w:rPr>
        <w:t>Mas</w:t>
      </w:r>
      <w:r w:rsidR="00450457">
        <w:rPr>
          <w:rFonts w:ascii="Times New Roman" w:hAnsi="Times New Roman" w:cs="Times New Roman"/>
          <w:color w:val="000000" w:themeColor="text1"/>
        </w:rPr>
        <w:t>hiyama</w:t>
      </w:r>
      <w:proofErr w:type="spellEnd"/>
      <w:r w:rsidR="00450457">
        <w:rPr>
          <w:rFonts w:ascii="Times New Roman" w:hAnsi="Times New Roman" w:cs="Times New Roman"/>
          <w:color w:val="000000" w:themeColor="text1"/>
        </w:rPr>
        <w:t xml:space="preserve"> ST, Ames BN, Fenech MF. 2001.</w:t>
      </w:r>
      <w:r w:rsidRPr="00691904">
        <w:rPr>
          <w:rFonts w:ascii="Times New Roman" w:hAnsi="Times New Roman" w:cs="Times New Roman"/>
          <w:color w:val="000000" w:themeColor="text1"/>
        </w:rPr>
        <w:t xml:space="preserve"> Methylenetetrahydrofolate reductase C677T polymorphism does not alter folic acid deficiency-induced uracil incorporation into primary human lymphocy</w:t>
      </w:r>
      <w:r w:rsidR="00450457">
        <w:rPr>
          <w:rFonts w:ascii="Times New Roman" w:hAnsi="Times New Roman" w:cs="Times New Roman"/>
          <w:color w:val="000000" w:themeColor="text1"/>
        </w:rPr>
        <w:t>te DNA in vitro. Carcinogenesis</w:t>
      </w:r>
      <w:r w:rsidRPr="00691904">
        <w:rPr>
          <w:rFonts w:ascii="Times New Roman" w:hAnsi="Times New Roman" w:cs="Times New Roman"/>
          <w:color w:val="000000" w:themeColor="text1"/>
        </w:rPr>
        <w:t xml:space="preserve"> 22(7):1019-25.</w:t>
      </w:r>
    </w:p>
    <w:p w14:paraId="4A84FF45" w14:textId="4DDAB547" w:rsidR="004C789D" w:rsidRPr="00691904" w:rsidRDefault="004C789D" w:rsidP="004C789D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91904">
        <w:rPr>
          <w:rFonts w:ascii="Times New Roman" w:hAnsi="Times New Roman" w:cs="Times New Roman"/>
          <w:color w:val="000000" w:themeColor="text1"/>
        </w:rPr>
        <w:t>Libbus</w:t>
      </w:r>
      <w:proofErr w:type="spellEnd"/>
      <w:r w:rsidRPr="00691904">
        <w:rPr>
          <w:rFonts w:ascii="Times New Roman" w:hAnsi="Times New Roman" w:cs="Times New Roman"/>
          <w:color w:val="000000" w:themeColor="text1"/>
        </w:rPr>
        <w:t xml:space="preserve"> BL, </w:t>
      </w:r>
      <w:proofErr w:type="spellStart"/>
      <w:r w:rsidRPr="00691904">
        <w:rPr>
          <w:rFonts w:ascii="Times New Roman" w:hAnsi="Times New Roman" w:cs="Times New Roman"/>
          <w:color w:val="000000" w:themeColor="text1"/>
        </w:rPr>
        <w:t>Borm</w:t>
      </w:r>
      <w:r w:rsidR="00450457">
        <w:rPr>
          <w:rFonts w:ascii="Times New Roman" w:hAnsi="Times New Roman" w:cs="Times New Roman"/>
          <w:color w:val="000000" w:themeColor="text1"/>
        </w:rPr>
        <w:t>an</w:t>
      </w:r>
      <w:proofErr w:type="spellEnd"/>
      <w:r w:rsidR="00450457">
        <w:rPr>
          <w:rFonts w:ascii="Times New Roman" w:hAnsi="Times New Roman" w:cs="Times New Roman"/>
          <w:color w:val="000000" w:themeColor="text1"/>
        </w:rPr>
        <w:t xml:space="preserve"> LS, </w:t>
      </w:r>
      <w:proofErr w:type="spellStart"/>
      <w:r w:rsidR="00450457">
        <w:rPr>
          <w:rFonts w:ascii="Times New Roman" w:hAnsi="Times New Roman" w:cs="Times New Roman"/>
          <w:color w:val="000000" w:themeColor="text1"/>
        </w:rPr>
        <w:t>Ventrone</w:t>
      </w:r>
      <w:proofErr w:type="spellEnd"/>
      <w:r w:rsidR="00450457">
        <w:rPr>
          <w:rFonts w:ascii="Times New Roman" w:hAnsi="Times New Roman" w:cs="Times New Roman"/>
          <w:color w:val="000000" w:themeColor="text1"/>
        </w:rPr>
        <w:t xml:space="preserve"> CH, Branda RF. 1990.</w:t>
      </w:r>
      <w:r w:rsidRPr="00691904">
        <w:rPr>
          <w:rFonts w:ascii="Times New Roman" w:hAnsi="Times New Roman" w:cs="Times New Roman"/>
          <w:color w:val="000000" w:themeColor="text1"/>
        </w:rPr>
        <w:t xml:space="preserve"> Nutritional folate-deficiency in Chinese hamster ovary cells. Chromosomal abnormalities associated with perturbations in nucleic acid pre</w:t>
      </w:r>
      <w:r w:rsidR="00450457">
        <w:rPr>
          <w:rFonts w:ascii="Times New Roman" w:hAnsi="Times New Roman" w:cs="Times New Roman"/>
          <w:color w:val="000000" w:themeColor="text1"/>
        </w:rPr>
        <w:t xml:space="preserve">cursors. Cancer Genet </w:t>
      </w:r>
      <w:proofErr w:type="spellStart"/>
      <w:r w:rsidR="00450457">
        <w:rPr>
          <w:rFonts w:ascii="Times New Roman" w:hAnsi="Times New Roman" w:cs="Times New Roman"/>
          <w:color w:val="000000" w:themeColor="text1"/>
        </w:rPr>
        <w:t>Cytogenet</w:t>
      </w:r>
      <w:proofErr w:type="spellEnd"/>
      <w:r w:rsidRPr="00691904">
        <w:rPr>
          <w:rFonts w:ascii="Times New Roman" w:hAnsi="Times New Roman" w:cs="Times New Roman"/>
          <w:color w:val="000000" w:themeColor="text1"/>
        </w:rPr>
        <w:t xml:space="preserve"> 46(2):231-42.</w:t>
      </w:r>
    </w:p>
    <w:p w14:paraId="0A8657E6" w14:textId="3C14BEE1" w:rsidR="004C789D" w:rsidRPr="00A500BE" w:rsidRDefault="004C789D" w:rsidP="00A500BE">
      <w:pPr>
        <w:rPr>
          <w:rFonts w:ascii="Times New Roman" w:eastAsia="Times New Roman" w:hAnsi="Times New Roman" w:cs="Times New Roman"/>
          <w:color w:val="000000"/>
        </w:rPr>
      </w:pPr>
    </w:p>
    <w:p w14:paraId="6AA02E3D" w14:textId="4C9CA7B0" w:rsidR="00FA1772" w:rsidRPr="00FA1772" w:rsidRDefault="00671D7B" w:rsidP="00FA1772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drawing>
          <wp:inline distT="0" distB="0" distL="0" distR="0" wp14:anchorId="30D9EBD2" wp14:editId="243D4507">
            <wp:extent cx="3168245" cy="4714875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C1072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074" cy="47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5ED2" w14:textId="05B58A89" w:rsidR="00FA1772" w:rsidRDefault="00FA1772" w:rsidP="00C17015">
      <w:pPr>
        <w:rPr>
          <w:rFonts w:ascii="Times New Roman" w:hAnsi="Times New Roman" w:cs="Times New Roman"/>
          <w:b/>
        </w:rPr>
      </w:pPr>
    </w:p>
    <w:p w14:paraId="12581994" w14:textId="2A0F03B7" w:rsidR="00C17015" w:rsidRPr="00691904" w:rsidRDefault="003D0B2C" w:rsidP="00C17015">
      <w:pPr>
        <w:rPr>
          <w:rFonts w:ascii="Times New Roman" w:hAnsi="Times New Roman" w:cs="Times New Roman"/>
        </w:rPr>
      </w:pPr>
      <w:r w:rsidRPr="00691904">
        <w:rPr>
          <w:rFonts w:ascii="Times New Roman" w:hAnsi="Times New Roman" w:cs="Times New Roman"/>
          <w:b/>
        </w:rPr>
        <w:t>F</w:t>
      </w:r>
      <w:r w:rsidR="00BD3C57" w:rsidRPr="00691904">
        <w:rPr>
          <w:rFonts w:ascii="Times New Roman" w:hAnsi="Times New Roman" w:cs="Times New Roman"/>
          <w:b/>
        </w:rPr>
        <w:t xml:space="preserve">igure </w:t>
      </w:r>
      <w:r w:rsidR="004E37CA">
        <w:rPr>
          <w:rFonts w:ascii="Times New Roman" w:hAnsi="Times New Roman" w:cs="Times New Roman"/>
          <w:b/>
        </w:rPr>
        <w:t>S</w:t>
      </w:r>
      <w:r w:rsidR="00BD3C57" w:rsidRPr="00691904">
        <w:rPr>
          <w:rFonts w:ascii="Times New Roman" w:hAnsi="Times New Roman" w:cs="Times New Roman"/>
          <w:b/>
        </w:rPr>
        <w:t>1</w:t>
      </w:r>
      <w:r w:rsidRPr="00691904">
        <w:rPr>
          <w:rFonts w:ascii="Times New Roman" w:hAnsi="Times New Roman" w:cs="Times New Roman"/>
        </w:rPr>
        <w:t>:</w:t>
      </w:r>
      <w:r w:rsidR="00647AB4">
        <w:rPr>
          <w:rFonts w:ascii="Times New Roman" w:hAnsi="Times New Roman" w:cs="Times New Roman"/>
        </w:rPr>
        <w:t xml:space="preserve"> </w:t>
      </w:r>
      <w:r w:rsidR="001A4DB6" w:rsidRPr="00691904">
        <w:rPr>
          <w:rFonts w:ascii="Times New Roman" w:hAnsi="Times New Roman" w:cs="Times New Roman"/>
        </w:rPr>
        <w:t>MN induction (</w:t>
      </w:r>
      <w:r w:rsidR="001A4DB6" w:rsidRPr="009F6D6D">
        <w:rPr>
          <w:rFonts w:ascii="Times New Roman" w:hAnsi="Times New Roman" w:cs="Times New Roman"/>
        </w:rPr>
        <w:t>A</w:t>
      </w:r>
      <w:r w:rsidR="001A4DB6" w:rsidRPr="00691904">
        <w:rPr>
          <w:rFonts w:ascii="Times New Roman" w:hAnsi="Times New Roman" w:cs="Times New Roman"/>
        </w:rPr>
        <w:t>) and cell death (</w:t>
      </w:r>
      <w:r w:rsidR="00BD3C57" w:rsidRPr="009F6D6D">
        <w:rPr>
          <w:rFonts w:ascii="Times New Roman" w:hAnsi="Times New Roman" w:cs="Times New Roman"/>
        </w:rPr>
        <w:t>B</w:t>
      </w:r>
      <w:r w:rsidR="00BD3C57" w:rsidRPr="00691904">
        <w:rPr>
          <w:rFonts w:ascii="Times New Roman" w:hAnsi="Times New Roman" w:cs="Times New Roman"/>
        </w:rPr>
        <w:t xml:space="preserve">) in TK6 cells grown for 120 h in medium containing different concentrations of </w:t>
      </w:r>
      <w:r w:rsidR="00C72694" w:rsidRPr="00691904">
        <w:rPr>
          <w:rFonts w:ascii="Times New Roman" w:hAnsi="Times New Roman" w:cs="Times New Roman"/>
        </w:rPr>
        <w:t>FA</w:t>
      </w:r>
      <w:r w:rsidR="00647AB4" w:rsidRPr="00691904">
        <w:rPr>
          <w:rFonts w:ascii="Times New Roman" w:hAnsi="Times New Roman" w:cs="Times New Roman"/>
        </w:rPr>
        <w:t>.</w:t>
      </w:r>
      <w:r w:rsidR="00647AB4">
        <w:rPr>
          <w:rFonts w:ascii="Times New Roman" w:hAnsi="Times New Roman" w:cs="Times New Roman"/>
        </w:rPr>
        <w:t xml:space="preserve"> </w:t>
      </w:r>
      <w:r w:rsidR="0013480B" w:rsidRPr="00691904">
        <w:rPr>
          <w:rFonts w:ascii="Times New Roman" w:hAnsi="Times New Roman" w:cs="Times New Roman"/>
        </w:rPr>
        <w:t>The zero concentration is &lt; 1 nM FA due to residual amounts of FA in dialyzed FBS</w:t>
      </w:r>
      <w:r w:rsidR="00647AB4" w:rsidRPr="00691904">
        <w:rPr>
          <w:rFonts w:ascii="Times New Roman" w:hAnsi="Times New Roman" w:cs="Times New Roman"/>
        </w:rPr>
        <w:t>.</w:t>
      </w:r>
      <w:r w:rsidR="00647AB4">
        <w:rPr>
          <w:rFonts w:ascii="Times New Roman" w:hAnsi="Times New Roman" w:cs="Times New Roman"/>
        </w:rPr>
        <w:t xml:space="preserve"> </w:t>
      </w:r>
      <w:r w:rsidR="00236E1D" w:rsidRPr="00691904">
        <w:rPr>
          <w:rFonts w:ascii="Times New Roman" w:hAnsi="Times New Roman" w:cs="Times New Roman"/>
        </w:rPr>
        <w:t>Each concentration was evaluated using triplicate wells</w:t>
      </w:r>
      <w:r w:rsidR="00647AB4" w:rsidRPr="00691904">
        <w:rPr>
          <w:rFonts w:ascii="Times New Roman" w:hAnsi="Times New Roman" w:cs="Times New Roman"/>
        </w:rPr>
        <w:t>.</w:t>
      </w:r>
      <w:r w:rsidR="00647AB4">
        <w:rPr>
          <w:rFonts w:ascii="Times New Roman" w:hAnsi="Times New Roman" w:cs="Times New Roman"/>
        </w:rPr>
        <w:t xml:space="preserve"> </w:t>
      </w:r>
      <w:r w:rsidR="00236E1D" w:rsidRPr="00691904">
        <w:rPr>
          <w:rFonts w:ascii="Times New Roman" w:hAnsi="Times New Roman" w:cs="Times New Roman"/>
        </w:rPr>
        <w:t>Bars show</w:t>
      </w:r>
      <w:r w:rsidR="0013480B" w:rsidRPr="00691904">
        <w:rPr>
          <w:rFonts w:ascii="Times New Roman" w:hAnsi="Times New Roman" w:cs="Times New Roman"/>
        </w:rPr>
        <w:t xml:space="preserve"> the</w:t>
      </w:r>
      <w:r w:rsidR="00236E1D" w:rsidRPr="00691904">
        <w:rPr>
          <w:rFonts w:ascii="Times New Roman" w:hAnsi="Times New Roman" w:cs="Times New Roman"/>
        </w:rPr>
        <w:t xml:space="preserve"> mean</w:t>
      </w:r>
      <w:r w:rsidR="0013480B" w:rsidRPr="00691904">
        <w:rPr>
          <w:rFonts w:ascii="Times New Roman" w:hAnsi="Times New Roman" w:cs="Times New Roman"/>
        </w:rPr>
        <w:t>s</w:t>
      </w:r>
      <w:r w:rsidR="003743F5" w:rsidRPr="00691904">
        <w:rPr>
          <w:rFonts w:ascii="Times New Roman" w:hAnsi="Times New Roman" w:cs="Times New Roman"/>
        </w:rPr>
        <w:t xml:space="preserve"> and error bars show SEM</w:t>
      </w:r>
      <w:r w:rsidR="0013480B" w:rsidRPr="00691904">
        <w:rPr>
          <w:rFonts w:ascii="Times New Roman" w:hAnsi="Times New Roman" w:cs="Times New Roman"/>
        </w:rPr>
        <w:t>s</w:t>
      </w:r>
      <w:r w:rsidR="003743F5" w:rsidRPr="00691904">
        <w:rPr>
          <w:rFonts w:ascii="Times New Roman" w:hAnsi="Times New Roman" w:cs="Times New Roman"/>
        </w:rPr>
        <w:t>. ***P &lt; 0.001.</w:t>
      </w:r>
    </w:p>
    <w:p w14:paraId="726D49CD" w14:textId="6CA16932" w:rsidR="00FA1772" w:rsidRDefault="00671D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D663E">
        <w:rPr>
          <w:rFonts w:ascii="Times New Roman" w:hAnsi="Times New Roman" w:cs="Times New Roman"/>
          <w:b/>
          <w:noProof/>
        </w:rPr>
        <w:drawing>
          <wp:inline distT="0" distB="0" distL="0" distR="0" wp14:anchorId="074DA2EC" wp14:editId="78053CE7">
            <wp:extent cx="5792008" cy="7125694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49908.t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BE12" w14:textId="0F12E28F" w:rsidR="00FA1772" w:rsidRPr="00671D7B" w:rsidRDefault="003743F5">
      <w:pPr>
        <w:rPr>
          <w:rFonts w:ascii="Times New Roman" w:hAnsi="Times New Roman" w:cs="Times New Roman"/>
          <w:b/>
          <w:sz w:val="20"/>
          <w:szCs w:val="20"/>
        </w:rPr>
      </w:pPr>
      <w:r w:rsidRPr="00671D7B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4E37CA" w:rsidRPr="00671D7B">
        <w:rPr>
          <w:rFonts w:ascii="Times New Roman" w:hAnsi="Times New Roman" w:cs="Times New Roman"/>
          <w:b/>
          <w:sz w:val="20"/>
          <w:szCs w:val="20"/>
        </w:rPr>
        <w:t>S</w:t>
      </w:r>
      <w:r w:rsidRPr="00671D7B">
        <w:rPr>
          <w:rFonts w:ascii="Times New Roman" w:hAnsi="Times New Roman" w:cs="Times New Roman"/>
          <w:b/>
          <w:sz w:val="20"/>
          <w:szCs w:val="20"/>
        </w:rPr>
        <w:t>2</w:t>
      </w:r>
      <w:r w:rsidR="00675458" w:rsidRPr="00671D7B">
        <w:rPr>
          <w:rFonts w:ascii="Times New Roman" w:hAnsi="Times New Roman" w:cs="Times New Roman"/>
          <w:b/>
          <w:sz w:val="20"/>
          <w:szCs w:val="20"/>
        </w:rPr>
        <w:t>:</w:t>
      </w:r>
      <w:r w:rsidRPr="00671D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7CA" w:rsidRPr="00671D7B">
        <w:rPr>
          <w:rFonts w:ascii="Times New Roman" w:hAnsi="Times New Roman" w:cs="Times New Roman"/>
          <w:sz w:val="20"/>
          <w:szCs w:val="20"/>
        </w:rPr>
        <w:t>TK6 cell</w:t>
      </w:r>
      <w:r w:rsidR="004E37CA" w:rsidRPr="00671D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43A9">
        <w:rPr>
          <w:rFonts w:ascii="Times New Roman" w:eastAsia="Times New Roman" w:hAnsi="Times New Roman" w:cs="Times New Roman"/>
          <w:color w:val="000000"/>
          <w:sz w:val="20"/>
          <w:szCs w:val="20"/>
        </w:rPr>
        <w:t>MultiFlow® DNA Damage a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ssay results for </w:t>
      </w:r>
      <w:r w:rsidR="00E779FE" w:rsidRPr="00671D7B">
        <w:rPr>
          <w:rFonts w:ascii="Times New Roman" w:eastAsia="Times New Roman" w:hAnsi="Times New Roman" w:cs="Times New Roman"/>
          <w:sz w:val="20"/>
          <w:szCs w:val="20"/>
        </w:rPr>
        <w:sym w:font="Symbol" w:char="F067"/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H2AX</w:t>
      </w:r>
      <w:r w:rsidR="00CA2DAC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CA2DAC" w:rsidRPr="009F6D6D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CA2DAC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75458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p53 translocation (</w:t>
      </w:r>
      <w:r w:rsidR="00675458" w:rsidRPr="009F6D6D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675458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P-histone H3</w:t>
      </w:r>
      <w:r w:rsidR="00675458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675458" w:rsidRPr="009F6D6D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675458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, and polyploidy</w:t>
      </w:r>
      <w:r w:rsidR="00675458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675458" w:rsidRPr="009F6D6D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675458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after 4 or 24 h of exposure, and </w:t>
      </w:r>
      <w:r w:rsidR="004E37CA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cytotoxicity</w:t>
      </w:r>
      <w:r w:rsidR="007B366C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B366C" w:rsidRPr="009F6D6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7B366C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E37CA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after</w:t>
      </w:r>
      <w:r w:rsidR="004E37CA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24 h of exposure,</w:t>
      </w:r>
      <w:r w:rsidR="00172069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1145C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NTP BCE</w:t>
      </w:r>
      <w:r w:rsidR="00172069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(genotoxic in mice and rats in NTP studies)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 w:rsidR="0052067B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52067B" w:rsidRPr="00671D7B">
        <w:rPr>
          <w:rFonts w:ascii="Times New Roman" w:hAnsi="Times New Roman" w:cs="Times New Roman"/>
          <w:sz w:val="20"/>
          <w:szCs w:val="20"/>
        </w:rPr>
        <w:t>BC</w:t>
      </w:r>
      <w:r w:rsidR="00461378" w:rsidRPr="00671D7B">
        <w:rPr>
          <w:rFonts w:ascii="Times New Roman" w:hAnsi="Times New Roman" w:cs="Times New Roman"/>
          <w:sz w:val="20"/>
          <w:szCs w:val="20"/>
        </w:rPr>
        <w:t xml:space="preserve"> XRM</w:t>
      </w:r>
      <w:r w:rsidR="00647AB4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Methotrexate, which inhibits </w:t>
      </w:r>
      <w:r w:rsidR="00537D5B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DHFR</w:t>
      </w:r>
      <w:r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, is shown as a positive control</w:t>
      </w:r>
      <w:r w:rsidR="00172069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clastogenicity induced by </w:t>
      </w:r>
      <w:r w:rsidR="004E37CA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impairment</w:t>
      </w:r>
      <w:r w:rsidR="00172069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 folate me</w:t>
      </w:r>
      <w:r w:rsidR="00537D5B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tabolism pathway</w:t>
      </w:r>
      <w:r w:rsidR="00647AB4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537D5B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Cytotoxicity data</w:t>
      </w:r>
      <w:r w:rsidR="003D66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NTP BCE, BC XRM, and methotrexate</w:t>
      </w:r>
      <w:r w:rsidR="00537D5B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the </w:t>
      </w:r>
      <w:r w:rsidR="003D663E">
        <w:rPr>
          <w:rFonts w:ascii="Times New Roman" w:eastAsia="Times New Roman" w:hAnsi="Times New Roman" w:cs="Times New Roman"/>
          <w:color w:val="000000"/>
          <w:sz w:val="20"/>
          <w:szCs w:val="20"/>
        </w:rPr>
        <w:t>same as those shown in Figure 5</w:t>
      </w:r>
      <w:r w:rsidR="00537D5B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FA1772" w:rsidRPr="00671D7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72A5CE1" w14:textId="375C54CB" w:rsidR="00671D7B" w:rsidRDefault="00671D7B" w:rsidP="00B72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07D601F" wp14:editId="55962CB3">
            <wp:extent cx="5159455" cy="7534275"/>
            <wp:effectExtent l="0" t="0" r="3175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CF6DB.t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9157" cy="757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DCD4" w14:textId="417BE552" w:rsidR="00B726E4" w:rsidRDefault="003743F5" w:rsidP="00B726E4">
      <w:pPr>
        <w:rPr>
          <w:rFonts w:ascii="Times New Roman" w:hAnsi="Times New Roman" w:cs="Times New Roman"/>
          <w:sz w:val="20"/>
          <w:szCs w:val="20"/>
        </w:rPr>
      </w:pPr>
      <w:r w:rsidRPr="00671D7B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4E37CA" w:rsidRPr="00671D7B">
        <w:rPr>
          <w:rFonts w:ascii="Times New Roman" w:hAnsi="Times New Roman" w:cs="Times New Roman"/>
          <w:b/>
          <w:sz w:val="20"/>
          <w:szCs w:val="20"/>
        </w:rPr>
        <w:t>S</w:t>
      </w:r>
      <w:r w:rsidRPr="00671D7B">
        <w:rPr>
          <w:rFonts w:ascii="Times New Roman" w:hAnsi="Times New Roman" w:cs="Times New Roman"/>
          <w:b/>
          <w:sz w:val="20"/>
          <w:szCs w:val="20"/>
        </w:rPr>
        <w:t>3:</w:t>
      </w:r>
      <w:r w:rsidR="00647AB4" w:rsidRPr="00671D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061" w:rsidRPr="00671D7B">
        <w:rPr>
          <w:rFonts w:ascii="Times New Roman" w:hAnsi="Times New Roman" w:cs="Times New Roman"/>
          <w:sz w:val="20"/>
          <w:szCs w:val="20"/>
        </w:rPr>
        <w:t xml:space="preserve">Comparison </w:t>
      </w:r>
      <w:r w:rsidR="00172069" w:rsidRPr="00671D7B">
        <w:rPr>
          <w:rFonts w:ascii="Times New Roman" w:hAnsi="Times New Roman" w:cs="Times New Roman"/>
          <w:sz w:val="20"/>
          <w:szCs w:val="20"/>
        </w:rPr>
        <w:t xml:space="preserve">of </w:t>
      </w:r>
      <w:r w:rsidR="0012774B" w:rsidRPr="00671D7B">
        <w:rPr>
          <w:rFonts w:ascii="Times New Roman" w:hAnsi="Times New Roman" w:cs="Times New Roman"/>
          <w:sz w:val="20"/>
          <w:szCs w:val="20"/>
        </w:rPr>
        <w:t>NTP BCE</w:t>
      </w:r>
      <w:r w:rsidR="00461378" w:rsidRPr="00671D7B">
        <w:rPr>
          <w:rFonts w:ascii="Times New Roman" w:hAnsi="Times New Roman" w:cs="Times New Roman"/>
          <w:sz w:val="20"/>
          <w:szCs w:val="20"/>
        </w:rPr>
        <w:t xml:space="preserve"> (B), BC</w:t>
      </w:r>
      <w:r w:rsidR="0012774B" w:rsidRPr="00671D7B">
        <w:rPr>
          <w:rFonts w:ascii="Times New Roman" w:hAnsi="Times New Roman" w:cs="Times New Roman"/>
          <w:sz w:val="20"/>
          <w:szCs w:val="20"/>
        </w:rPr>
        <w:t xml:space="preserve"> </w:t>
      </w:r>
      <w:r w:rsidR="0052067B" w:rsidRPr="00671D7B">
        <w:rPr>
          <w:rFonts w:ascii="Times New Roman" w:hAnsi="Times New Roman" w:cs="Times New Roman"/>
          <w:sz w:val="20"/>
          <w:szCs w:val="20"/>
        </w:rPr>
        <w:t>X</w:t>
      </w:r>
      <w:r w:rsidR="00461378" w:rsidRPr="00671D7B">
        <w:rPr>
          <w:rFonts w:ascii="Times New Roman" w:hAnsi="Times New Roman" w:cs="Times New Roman"/>
          <w:sz w:val="20"/>
          <w:szCs w:val="20"/>
        </w:rPr>
        <w:t>RM</w:t>
      </w:r>
      <w:r w:rsidR="0012774B" w:rsidRPr="00671D7B">
        <w:rPr>
          <w:rFonts w:ascii="Times New Roman" w:hAnsi="Times New Roman" w:cs="Times New Roman"/>
          <w:sz w:val="20"/>
          <w:szCs w:val="20"/>
        </w:rPr>
        <w:t xml:space="preserve"> </w:t>
      </w:r>
      <w:r w:rsidR="00C31061" w:rsidRPr="00671D7B">
        <w:rPr>
          <w:rFonts w:ascii="Times New Roman" w:hAnsi="Times New Roman" w:cs="Times New Roman"/>
          <w:sz w:val="20"/>
          <w:szCs w:val="20"/>
        </w:rPr>
        <w:t>(R), and methotrexate (M) to well-characterized clastogens, aneugens, and non-genotoxicants using</w:t>
      </w:r>
      <w:r w:rsidR="001A4DB6" w:rsidRPr="00671D7B">
        <w:rPr>
          <w:rFonts w:ascii="Times New Roman" w:hAnsi="Times New Roman" w:cs="Times New Roman"/>
          <w:sz w:val="20"/>
          <w:szCs w:val="20"/>
        </w:rPr>
        <w:t xml:space="preserve"> the</w:t>
      </w:r>
      <w:r w:rsidR="00C31061" w:rsidRPr="00671D7B">
        <w:rPr>
          <w:rFonts w:ascii="Times New Roman" w:hAnsi="Times New Roman" w:cs="Times New Roman"/>
          <w:sz w:val="20"/>
          <w:szCs w:val="20"/>
        </w:rPr>
        <w:t xml:space="preserve"> </w:t>
      </w:r>
      <w:r w:rsidR="00B643A9">
        <w:rPr>
          <w:rFonts w:ascii="Times New Roman" w:eastAsia="Times New Roman" w:hAnsi="Times New Roman" w:cs="Times New Roman"/>
          <w:color w:val="000000"/>
          <w:sz w:val="20"/>
          <w:szCs w:val="20"/>
        </w:rPr>
        <w:t>MultiFlow® DNA Damage a</w:t>
      </w:r>
      <w:r w:rsidR="006A685A" w:rsidRPr="00671D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ssay </w:t>
      </w:r>
      <w:r w:rsidR="00C31061" w:rsidRPr="00671D7B">
        <w:rPr>
          <w:rFonts w:ascii="Times New Roman" w:hAnsi="Times New Roman" w:cs="Times New Roman"/>
          <w:sz w:val="20"/>
          <w:szCs w:val="20"/>
        </w:rPr>
        <w:t>4-factor linear regression models for aneugenicity (</w:t>
      </w:r>
      <w:r w:rsidR="00C31061" w:rsidRPr="009F6D6D">
        <w:rPr>
          <w:rFonts w:ascii="Times New Roman" w:hAnsi="Times New Roman" w:cs="Times New Roman"/>
          <w:sz w:val="20"/>
          <w:szCs w:val="20"/>
        </w:rPr>
        <w:t>A</w:t>
      </w:r>
      <w:r w:rsidR="00C31061" w:rsidRPr="00671D7B">
        <w:rPr>
          <w:rFonts w:ascii="Times New Roman" w:hAnsi="Times New Roman" w:cs="Times New Roman"/>
          <w:sz w:val="20"/>
          <w:szCs w:val="20"/>
        </w:rPr>
        <w:t>) and clastogenicity (</w:t>
      </w:r>
      <w:r w:rsidR="00C31061" w:rsidRPr="009F6D6D">
        <w:rPr>
          <w:rFonts w:ascii="Times New Roman" w:hAnsi="Times New Roman" w:cs="Times New Roman"/>
          <w:sz w:val="20"/>
          <w:szCs w:val="20"/>
        </w:rPr>
        <w:t>B</w:t>
      </w:r>
      <w:r w:rsidR="00647AB4" w:rsidRPr="00671D7B">
        <w:rPr>
          <w:rFonts w:ascii="Times New Roman" w:hAnsi="Times New Roman" w:cs="Times New Roman"/>
          <w:sz w:val="20"/>
          <w:szCs w:val="20"/>
        </w:rPr>
        <w:t xml:space="preserve">). </w:t>
      </w:r>
      <w:r w:rsidR="004E37CA" w:rsidRPr="00671D7B">
        <w:rPr>
          <w:rFonts w:ascii="Times New Roman" w:hAnsi="Times New Roman" w:cs="Times New Roman"/>
          <w:sz w:val="20"/>
          <w:szCs w:val="20"/>
        </w:rPr>
        <w:t>The 4-factor linear regression models were developed using TK6 cells.</w:t>
      </w:r>
    </w:p>
    <w:p w14:paraId="1545DD6C" w14:textId="7689AB8D" w:rsidR="009B0630" w:rsidRPr="00CF04FB" w:rsidRDefault="007578DA" w:rsidP="009B0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Supporting Information, </w:t>
      </w:r>
      <w:r w:rsidR="009B0630">
        <w:rPr>
          <w:rFonts w:ascii="Times New Roman" w:hAnsi="Times New Roman" w:cs="Times New Roman"/>
          <w:b/>
          <w:sz w:val="24"/>
          <w:szCs w:val="24"/>
        </w:rPr>
        <w:t xml:space="preserve">Tables </w:t>
      </w:r>
      <w:r>
        <w:rPr>
          <w:rFonts w:ascii="Times New Roman" w:hAnsi="Times New Roman" w:cs="Times New Roman"/>
          <w:b/>
          <w:sz w:val="24"/>
          <w:szCs w:val="24"/>
        </w:rPr>
        <w:t>1 - 16</w:t>
      </w:r>
      <w:r w:rsidR="009B0630">
        <w:rPr>
          <w:rFonts w:ascii="Times New Roman" w:hAnsi="Times New Roman" w:cs="Times New Roman"/>
          <w:b/>
          <w:sz w:val="24"/>
          <w:szCs w:val="24"/>
        </w:rPr>
        <w:t xml:space="preserve">:  In </w:t>
      </w:r>
      <w:r>
        <w:rPr>
          <w:rFonts w:ascii="Times New Roman" w:hAnsi="Times New Roman" w:cs="Times New Roman"/>
          <w:b/>
          <w:sz w:val="24"/>
          <w:szCs w:val="24"/>
        </w:rPr>
        <w:t>vitro micronucleus data that support the positive calls for each cohosh sample tested</w:t>
      </w:r>
    </w:p>
    <w:p w14:paraId="344C2412" w14:textId="7C8B38F0" w:rsidR="009B0630" w:rsidRPr="00CF04FB" w:rsidRDefault="009B0630" w:rsidP="009B0630">
      <w:pPr>
        <w:rPr>
          <w:rFonts w:ascii="Times New Roman" w:hAnsi="Times New Roman" w:cs="Times New Roman"/>
        </w:rPr>
      </w:pPr>
      <w:r w:rsidRPr="00E45E4B">
        <w:rPr>
          <w:rFonts w:ascii="Times New Roman" w:hAnsi="Times New Roman" w:cs="Times New Roman"/>
          <w:b/>
        </w:rPr>
        <w:t>Criteria for a positive call</w:t>
      </w:r>
      <w:r w:rsidRPr="00CF04FB">
        <w:rPr>
          <w:rFonts w:ascii="Times New Roman" w:hAnsi="Times New Roman" w:cs="Times New Roman"/>
        </w:rPr>
        <w:t>: T</w:t>
      </w:r>
      <w:r w:rsidRPr="00CF04FB">
        <w:rPr>
          <w:rFonts w:ascii="Times New Roman" w:hAnsi="Times New Roman" w:cs="Times New Roman"/>
          <w:color w:val="000000" w:themeColor="text1"/>
        </w:rPr>
        <w:t xml:space="preserve">he trend test </w:t>
      </w:r>
      <w:r>
        <w:rPr>
          <w:rFonts w:ascii="Times New Roman" w:hAnsi="Times New Roman" w:cs="Times New Roman"/>
          <w:color w:val="000000" w:themeColor="text1"/>
        </w:rPr>
        <w:t>is</w:t>
      </w:r>
      <w:r w:rsidRPr="00CF04FB">
        <w:rPr>
          <w:rFonts w:ascii="Times New Roman" w:hAnsi="Times New Roman" w:cs="Times New Roman"/>
          <w:color w:val="000000" w:themeColor="text1"/>
        </w:rPr>
        <w:t xml:space="preserve"> significant</w:t>
      </w:r>
      <w:r>
        <w:rPr>
          <w:rFonts w:ascii="Times New Roman" w:hAnsi="Times New Roman" w:cs="Times New Roman"/>
          <w:color w:val="000000" w:themeColor="text1"/>
        </w:rPr>
        <w:t xml:space="preserve"> (P &lt; 0.025)</w:t>
      </w:r>
      <w:r w:rsidRPr="00CF04FB">
        <w:rPr>
          <w:rFonts w:ascii="Times New Roman" w:hAnsi="Times New Roman" w:cs="Times New Roman"/>
          <w:color w:val="000000" w:themeColor="text1"/>
        </w:rPr>
        <w:t xml:space="preserve"> and at least one dose group </w:t>
      </w:r>
      <w:r>
        <w:rPr>
          <w:rFonts w:ascii="Times New Roman" w:hAnsi="Times New Roman" w:cs="Times New Roman"/>
          <w:color w:val="000000" w:themeColor="text1"/>
        </w:rPr>
        <w:t>is</w:t>
      </w:r>
      <w:r w:rsidRPr="00CF04FB">
        <w:rPr>
          <w:rFonts w:ascii="Times New Roman" w:hAnsi="Times New Roman" w:cs="Times New Roman"/>
          <w:color w:val="000000" w:themeColor="text1"/>
        </w:rPr>
        <w:t xml:space="preserve"> significantly increased</w:t>
      </w:r>
      <w:r>
        <w:rPr>
          <w:rFonts w:ascii="Times New Roman" w:hAnsi="Times New Roman" w:cs="Times New Roman"/>
          <w:color w:val="000000" w:themeColor="text1"/>
        </w:rPr>
        <w:t xml:space="preserve"> (P &lt; 0.025)</w:t>
      </w:r>
      <w:r w:rsidR="005B7133">
        <w:rPr>
          <w:rFonts w:ascii="Times New Roman" w:hAnsi="Times New Roman" w:cs="Times New Roman"/>
          <w:color w:val="000000" w:themeColor="text1"/>
        </w:rPr>
        <w:t xml:space="preserve"> compared to the control</w:t>
      </w:r>
      <w:r w:rsidRPr="00CF04FB">
        <w:rPr>
          <w:rFonts w:ascii="Times New Roman" w:hAnsi="Times New Roman" w:cs="Times New Roman"/>
          <w:color w:val="000000" w:themeColor="text1"/>
        </w:rPr>
        <w:t>.</w:t>
      </w:r>
    </w:p>
    <w:p w14:paraId="681083FA" w14:textId="4CA77DE1" w:rsidR="009B0630" w:rsidRDefault="00D60A89" w:rsidP="009B0630">
      <w:pPr>
        <w:rPr>
          <w:rFonts w:ascii="Times New Roman" w:hAnsi="Times New Roman" w:cs="Times New Roman"/>
          <w:sz w:val="24"/>
          <w:szCs w:val="24"/>
        </w:rPr>
      </w:pPr>
      <w:r w:rsidRPr="006B141D">
        <w:rPr>
          <w:rFonts w:ascii="Times New Roman" w:hAnsi="Times New Roman" w:cs="Times New Roman"/>
          <w:sz w:val="24"/>
          <w:szCs w:val="24"/>
        </w:rPr>
        <w:t>BCE 3012782</w:t>
      </w:r>
      <w:r w:rsidR="00F27A4A">
        <w:rPr>
          <w:rFonts w:ascii="Times New Roman" w:hAnsi="Times New Roman" w:cs="Times New Roman"/>
          <w:sz w:val="24"/>
          <w:szCs w:val="24"/>
        </w:rPr>
        <w:t xml:space="preserve"> (the material tested in Mercado-Feliciano et al., 2012)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41D">
        <w:rPr>
          <w:rFonts w:ascii="Times New Roman" w:hAnsi="Times New Roman" w:cs="Times New Roman"/>
          <w:sz w:val="24"/>
          <w:szCs w:val="24"/>
        </w:rPr>
        <w:t xml:space="preserve">125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6B141D">
        <w:rPr>
          <w:rFonts w:ascii="Times New Roman" w:hAnsi="Times New Roman" w:cs="Times New Roman"/>
          <w:sz w:val="24"/>
          <w:szCs w:val="24"/>
        </w:rPr>
        <w:t>g/ml</w:t>
      </w:r>
      <w:r>
        <w:rPr>
          <w:rFonts w:ascii="Times New Roman" w:hAnsi="Times New Roman" w:cs="Times New Roman"/>
          <w:sz w:val="24"/>
          <w:szCs w:val="24"/>
        </w:rPr>
        <w:t>, was used</w:t>
      </w:r>
      <w:r w:rsidRPr="006B141D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 xml:space="preserve">reference </w:t>
      </w:r>
      <w:r w:rsidRPr="006B141D">
        <w:rPr>
          <w:rFonts w:ascii="Times New Roman" w:hAnsi="Times New Roman" w:cs="Times New Roman"/>
          <w:sz w:val="24"/>
          <w:szCs w:val="24"/>
        </w:rPr>
        <w:t>positive control for all other cohosh samples</w:t>
      </w:r>
      <w:r>
        <w:rPr>
          <w:rFonts w:ascii="Times New Roman" w:hAnsi="Times New Roman" w:cs="Times New Roman"/>
          <w:sz w:val="24"/>
          <w:szCs w:val="24"/>
        </w:rPr>
        <w:t xml:space="preserve"> to allow for assessment of relative strength of response;</w:t>
      </w:r>
      <w:r w:rsidRPr="006B141D">
        <w:rPr>
          <w:rFonts w:ascii="Times New Roman" w:hAnsi="Times New Roman" w:cs="Times New Roman"/>
          <w:sz w:val="24"/>
          <w:szCs w:val="24"/>
        </w:rPr>
        <w:t xml:space="preserve"> mitomycin 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41D">
        <w:rPr>
          <w:rFonts w:ascii="Times New Roman" w:hAnsi="Times New Roman" w:cs="Times New Roman"/>
          <w:sz w:val="24"/>
          <w:szCs w:val="24"/>
        </w:rPr>
        <w:t>100 ng/ml (0.3 µM)</w:t>
      </w:r>
      <w:r>
        <w:rPr>
          <w:rFonts w:ascii="Times New Roman" w:hAnsi="Times New Roman" w:cs="Times New Roman"/>
          <w:sz w:val="24"/>
          <w:szCs w:val="24"/>
        </w:rPr>
        <w:t>, was used as</w:t>
      </w:r>
      <w:r w:rsidRPr="006B14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6B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positive </w:t>
      </w:r>
      <w:r w:rsidRPr="006B141D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B141D">
        <w:rPr>
          <w:rFonts w:ascii="Times New Roman" w:hAnsi="Times New Roman" w:cs="Times New Roman"/>
          <w:sz w:val="24"/>
          <w:szCs w:val="24"/>
        </w:rPr>
        <w:t xml:space="preserve"> the in vitro MN assay.</w:t>
      </w:r>
    </w:p>
    <w:p w14:paraId="5CA40BEC" w14:textId="77777777" w:rsidR="009B0630" w:rsidRPr="008127A9" w:rsidRDefault="009B0630" w:rsidP="009B0630">
      <w:pPr>
        <w:rPr>
          <w:rFonts w:ascii="Times New Roman" w:hAnsi="Times New Roman" w:cs="Times New Roman"/>
          <w:sz w:val="24"/>
          <w:szCs w:val="24"/>
        </w:rPr>
      </w:pPr>
    </w:p>
    <w:p w14:paraId="1C6A517A" w14:textId="59FC126E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CF04FB">
        <w:rPr>
          <w:rFonts w:ascii="Times New Roman" w:hAnsi="Times New Roman" w:cs="Times New Roman"/>
          <w:i/>
        </w:rPr>
        <w:t>Actaea</w:t>
      </w:r>
      <w:proofErr w:type="spellEnd"/>
      <w:r w:rsidRPr="00CF04FB">
        <w:rPr>
          <w:rFonts w:ascii="Times New Roman" w:hAnsi="Times New Roman" w:cs="Times New Roman"/>
          <w:i/>
        </w:rPr>
        <w:t xml:space="preserve"> </w:t>
      </w:r>
      <w:proofErr w:type="spellStart"/>
      <w:r w:rsidRPr="00CF04FB">
        <w:rPr>
          <w:rFonts w:ascii="Times New Roman" w:hAnsi="Times New Roman" w:cs="Times New Roman"/>
          <w:i/>
        </w:rPr>
        <w:t>racemosa</w:t>
      </w:r>
      <w:proofErr w:type="spellEnd"/>
      <w:r w:rsidRPr="00CF04FB">
        <w:rPr>
          <w:rFonts w:ascii="Times New Roman" w:hAnsi="Times New Roman" w:cs="Times New Roman"/>
        </w:rPr>
        <w:t xml:space="preserve"> (black cohosh), extract reference material, product # ASB-00030148-005</w:t>
      </w:r>
    </w:p>
    <w:p w14:paraId="35C468A6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0CF983DD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4AEF6C0A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E109D43" w14:textId="4E4FC25E" w:rsidR="009B0630" w:rsidRPr="00CF04FB" w:rsidRDefault="00284C95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="009B0630"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E6E072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E16428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702440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5B069D1A" w14:textId="77777777" w:rsidTr="000D6AEE">
        <w:tc>
          <w:tcPr>
            <w:tcW w:w="2335" w:type="dxa"/>
          </w:tcPr>
          <w:p w14:paraId="5B44604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692F012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40" w:type="dxa"/>
          </w:tcPr>
          <w:p w14:paraId="4B4B075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1865388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E353A3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400DC87B" w14:textId="77777777" w:rsidTr="000D6AEE">
        <w:tc>
          <w:tcPr>
            <w:tcW w:w="2335" w:type="dxa"/>
          </w:tcPr>
          <w:p w14:paraId="27C5E1E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</w:tcPr>
          <w:p w14:paraId="6D787DF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440" w:type="dxa"/>
          </w:tcPr>
          <w:p w14:paraId="428529C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160" w:type="dxa"/>
          </w:tcPr>
          <w:p w14:paraId="09A1527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0CE4C95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B0630" w:rsidRPr="00CF04FB" w14:paraId="14D4F97C" w14:textId="77777777" w:rsidTr="000D6AEE">
        <w:tc>
          <w:tcPr>
            <w:tcW w:w="2335" w:type="dxa"/>
          </w:tcPr>
          <w:p w14:paraId="6BD0EC6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14:paraId="4909FD7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440" w:type="dxa"/>
          </w:tcPr>
          <w:p w14:paraId="1F4D94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7E3A42E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1C26BA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B0630" w:rsidRPr="00CF04FB" w14:paraId="308E50AE" w14:textId="77777777" w:rsidTr="000D6AEE">
        <w:tc>
          <w:tcPr>
            <w:tcW w:w="2335" w:type="dxa"/>
          </w:tcPr>
          <w:p w14:paraId="4973D41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7B9BC86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440" w:type="dxa"/>
          </w:tcPr>
          <w:p w14:paraId="2264CA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160" w:type="dxa"/>
          </w:tcPr>
          <w:p w14:paraId="0FACEC6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77F5ECE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B0630" w:rsidRPr="00CF04FB" w14:paraId="4D3DB4B8" w14:textId="77777777" w:rsidTr="000D6AEE">
        <w:tc>
          <w:tcPr>
            <w:tcW w:w="2335" w:type="dxa"/>
          </w:tcPr>
          <w:p w14:paraId="5EB9F94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</w:tcPr>
          <w:p w14:paraId="1F9DF3D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1440" w:type="dxa"/>
          </w:tcPr>
          <w:p w14:paraId="09A1268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2160" w:type="dxa"/>
          </w:tcPr>
          <w:p w14:paraId="0650AAB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5FB210D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0630" w:rsidRPr="00CF04FB" w14:paraId="4A5D9542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534AC6C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2C5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E5FFB6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AC5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D2E9B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204067E3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0333D52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84FA47" w14:textId="07CFD57F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82701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28A9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5C1FE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4906BA5C" w14:textId="77777777" w:rsidTr="000D6AEE">
        <w:tc>
          <w:tcPr>
            <w:tcW w:w="2335" w:type="dxa"/>
          </w:tcPr>
          <w:p w14:paraId="61DE452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2710EE1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F8BF12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6AE5EF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E441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8191D2C" w14:textId="77777777" w:rsidTr="000D6AEE">
        <w:tc>
          <w:tcPr>
            <w:tcW w:w="2335" w:type="dxa"/>
          </w:tcPr>
          <w:p w14:paraId="2228485F" w14:textId="5522935F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="009B0630"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7E6D1C0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AD94F9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DCF819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C467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23340EF1" w14:textId="77777777" w:rsidTr="000D6AEE">
        <w:tc>
          <w:tcPr>
            <w:tcW w:w="2335" w:type="dxa"/>
          </w:tcPr>
          <w:p w14:paraId="5681132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MMC, 100 ng/ml</w:t>
            </w:r>
          </w:p>
        </w:tc>
        <w:tc>
          <w:tcPr>
            <w:tcW w:w="1350" w:type="dxa"/>
          </w:tcPr>
          <w:p w14:paraId="30C9784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C18B20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A71CB9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D64E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2DE90D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3F5265B9" w14:textId="77777777" w:rsidR="009B0630" w:rsidRDefault="009B0630" w:rsidP="009B0630">
      <w:pPr>
        <w:rPr>
          <w:rFonts w:ascii="Times New Roman" w:hAnsi="Times New Roman" w:cs="Times New Roman"/>
        </w:rPr>
      </w:pPr>
    </w:p>
    <w:p w14:paraId="5715476B" w14:textId="0490218F" w:rsidR="009B0630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 BCE-3012782 (see also Figure</w:t>
      </w:r>
      <w:r w:rsidR="00D60A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2A, B in Smith-Roe et al., 2018)</w:t>
      </w:r>
    </w:p>
    <w:p w14:paraId="6661AC36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326FDBEE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4C187360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10F08F5" w14:textId="0173C788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8D78C1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02686E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112345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6C52CA85" w14:textId="77777777" w:rsidTr="000D6AEE">
        <w:tc>
          <w:tcPr>
            <w:tcW w:w="2335" w:type="dxa"/>
          </w:tcPr>
          <w:p w14:paraId="085514E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430EAB6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40" w:type="dxa"/>
          </w:tcPr>
          <w:p w14:paraId="24D3792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160" w:type="dxa"/>
          </w:tcPr>
          <w:p w14:paraId="5FDCD68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61F5D8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6673B30E" w14:textId="77777777" w:rsidTr="000D6AEE">
        <w:tc>
          <w:tcPr>
            <w:tcW w:w="2335" w:type="dxa"/>
          </w:tcPr>
          <w:p w14:paraId="3F30340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3749813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40" w:type="dxa"/>
          </w:tcPr>
          <w:p w14:paraId="19EEA7B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73A5130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1ED82E4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B0630" w:rsidRPr="00CF04FB" w14:paraId="7E7DFA37" w14:textId="77777777" w:rsidTr="000D6AEE">
        <w:tc>
          <w:tcPr>
            <w:tcW w:w="2335" w:type="dxa"/>
          </w:tcPr>
          <w:p w14:paraId="7FA8FD7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14:paraId="110FE4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440" w:type="dxa"/>
          </w:tcPr>
          <w:p w14:paraId="29C531E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160" w:type="dxa"/>
          </w:tcPr>
          <w:p w14:paraId="0D17DEA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7C4A86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B0630" w:rsidRPr="00CF04FB" w14:paraId="59C90B5C" w14:textId="77777777" w:rsidTr="000D6AEE">
        <w:tc>
          <w:tcPr>
            <w:tcW w:w="2335" w:type="dxa"/>
          </w:tcPr>
          <w:p w14:paraId="41F51F0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14:paraId="73B3D33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440" w:type="dxa"/>
          </w:tcPr>
          <w:p w14:paraId="54BABAF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2160" w:type="dxa"/>
          </w:tcPr>
          <w:p w14:paraId="1AA4B6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3BFC515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B0630" w:rsidRPr="00CF04FB" w14:paraId="5C5674F8" w14:textId="77777777" w:rsidTr="000D6AEE">
        <w:tc>
          <w:tcPr>
            <w:tcW w:w="2335" w:type="dxa"/>
          </w:tcPr>
          <w:p w14:paraId="10C5AE5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50" w:type="dxa"/>
          </w:tcPr>
          <w:p w14:paraId="0ABD813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440" w:type="dxa"/>
          </w:tcPr>
          <w:p w14:paraId="231202E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05052F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32FE2EC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B0630" w:rsidRPr="00CF04FB" w14:paraId="2C2CC452" w14:textId="77777777" w:rsidTr="000D6AEE">
        <w:tc>
          <w:tcPr>
            <w:tcW w:w="2335" w:type="dxa"/>
          </w:tcPr>
          <w:p w14:paraId="7BD229A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</w:tcPr>
          <w:p w14:paraId="4894EA8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440" w:type="dxa"/>
          </w:tcPr>
          <w:p w14:paraId="13F5DE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160" w:type="dxa"/>
          </w:tcPr>
          <w:p w14:paraId="5A55CFC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2911D53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B0630" w:rsidRPr="00CF04FB" w14:paraId="554440AA" w14:textId="77777777" w:rsidTr="000D6AEE">
        <w:tc>
          <w:tcPr>
            <w:tcW w:w="2335" w:type="dxa"/>
          </w:tcPr>
          <w:p w14:paraId="4C74398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CF012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6BEF3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160" w:type="dxa"/>
          </w:tcPr>
          <w:p w14:paraId="50C5C83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9F6DC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B0630" w:rsidRPr="00CF04FB" w14:paraId="29562F14" w14:textId="77777777" w:rsidTr="000D6AEE">
        <w:tc>
          <w:tcPr>
            <w:tcW w:w="2335" w:type="dxa"/>
          </w:tcPr>
          <w:p w14:paraId="3671A8E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68818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3DDDF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160" w:type="dxa"/>
          </w:tcPr>
          <w:p w14:paraId="1D789F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7F4A6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B0630" w:rsidRPr="00CF04FB" w14:paraId="3D159376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6A58EE0D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561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419E3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157A" w14:textId="0982447D" w:rsidR="009B0630" w:rsidRPr="00CF04FB" w:rsidRDefault="00D60A89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24AD3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25232F35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7FC6DB2C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D327DD" w14:textId="18BE3423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D0CF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67A9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29515D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30BF0E95" w14:textId="77777777" w:rsidTr="000D6AEE">
        <w:tc>
          <w:tcPr>
            <w:tcW w:w="2335" w:type="dxa"/>
          </w:tcPr>
          <w:p w14:paraId="51D6D699" w14:textId="0D13ECDD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39F39D5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1E748A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0DAFDC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276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7C8CDAFB" w14:textId="77777777" w:rsidTr="000D6AEE">
        <w:trPr>
          <w:trHeight w:val="260"/>
        </w:trPr>
        <w:tc>
          <w:tcPr>
            <w:tcW w:w="2335" w:type="dxa"/>
          </w:tcPr>
          <w:p w14:paraId="2C9F292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70FA411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B9EEDB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B1326E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45F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B9C45F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3F42AAAD" w14:textId="7CBACA3F" w:rsidR="009B0630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BCE-3012782 was also tested using the dose range of 10 – 250 µg/ml:</w:t>
      </w:r>
    </w:p>
    <w:p w14:paraId="7B9A92E0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7243DF45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7401880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9CC1057" w14:textId="62678720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49BC26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67ED44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AA3356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4A2B4838" w14:textId="77777777" w:rsidTr="000D6AEE">
        <w:tc>
          <w:tcPr>
            <w:tcW w:w="2335" w:type="dxa"/>
          </w:tcPr>
          <w:p w14:paraId="30D93EC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1949EA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440" w:type="dxa"/>
          </w:tcPr>
          <w:p w14:paraId="43AA90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160" w:type="dxa"/>
          </w:tcPr>
          <w:p w14:paraId="0169EC8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7A4039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0700F7FB" w14:textId="77777777" w:rsidTr="000D6AEE">
        <w:tc>
          <w:tcPr>
            <w:tcW w:w="2335" w:type="dxa"/>
          </w:tcPr>
          <w:p w14:paraId="797E7BC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045EC58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440" w:type="dxa"/>
          </w:tcPr>
          <w:p w14:paraId="42CB9B7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160" w:type="dxa"/>
          </w:tcPr>
          <w:p w14:paraId="1816ECA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4281C21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B0630" w:rsidRPr="00CF04FB" w14:paraId="7FE1A35B" w14:textId="77777777" w:rsidTr="000D6AEE">
        <w:tc>
          <w:tcPr>
            <w:tcW w:w="2335" w:type="dxa"/>
          </w:tcPr>
          <w:p w14:paraId="4B360E0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73C61FE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440" w:type="dxa"/>
          </w:tcPr>
          <w:p w14:paraId="12C3B61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792C847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3BE29E5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B0630" w:rsidRPr="00CF04FB" w14:paraId="34F9789D" w14:textId="77777777" w:rsidTr="000D6AEE">
        <w:tc>
          <w:tcPr>
            <w:tcW w:w="2335" w:type="dxa"/>
          </w:tcPr>
          <w:p w14:paraId="0E44D0E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010EBE5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440" w:type="dxa"/>
          </w:tcPr>
          <w:p w14:paraId="2DA86DE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318C815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764AF7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B0630" w:rsidRPr="00CF04FB" w14:paraId="77497971" w14:textId="77777777" w:rsidTr="000D6AEE">
        <w:tc>
          <w:tcPr>
            <w:tcW w:w="2335" w:type="dxa"/>
          </w:tcPr>
          <w:p w14:paraId="6194F99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2B3939C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1440" w:type="dxa"/>
          </w:tcPr>
          <w:p w14:paraId="4D6977A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</w:tcPr>
          <w:p w14:paraId="62203A0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095E074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B0630" w:rsidRPr="00CF04FB" w14:paraId="4BF5F044" w14:textId="77777777" w:rsidTr="000D6AEE">
        <w:tc>
          <w:tcPr>
            <w:tcW w:w="2335" w:type="dxa"/>
          </w:tcPr>
          <w:p w14:paraId="58C4D7A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129279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1440" w:type="dxa"/>
          </w:tcPr>
          <w:p w14:paraId="183C232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160" w:type="dxa"/>
          </w:tcPr>
          <w:p w14:paraId="561D40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3B47C8F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B0630" w:rsidRPr="00CF04FB" w14:paraId="739A8F99" w14:textId="77777777" w:rsidTr="000D6AEE">
        <w:tc>
          <w:tcPr>
            <w:tcW w:w="2335" w:type="dxa"/>
          </w:tcPr>
          <w:p w14:paraId="350F4B8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D23AD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2708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2160" w:type="dxa"/>
          </w:tcPr>
          <w:p w14:paraId="7672165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CFFFF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B0630" w:rsidRPr="00CF04FB" w14:paraId="4AE9D461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0B83D2A0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94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550218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44F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9518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20D0C160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07855E64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82CAF1" w14:textId="1CF21FC4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B0444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7877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4EB39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357FDC2F" w14:textId="77777777" w:rsidTr="000D6AEE">
        <w:tc>
          <w:tcPr>
            <w:tcW w:w="2335" w:type="dxa"/>
          </w:tcPr>
          <w:p w14:paraId="03974749" w14:textId="5FEA3C83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5D9672F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FC5577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B8E24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E397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3F9A249" w14:textId="77777777" w:rsidTr="000D6AEE">
        <w:tc>
          <w:tcPr>
            <w:tcW w:w="2335" w:type="dxa"/>
          </w:tcPr>
          <w:p w14:paraId="052EB45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6BCA43F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99DBE4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398C2E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7C2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D39441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71EB2AE5" w14:textId="77777777" w:rsidR="009B0630" w:rsidRDefault="009B0630" w:rsidP="009B0630">
      <w:pPr>
        <w:rPr>
          <w:rFonts w:ascii="Times New Roman" w:hAnsi="Times New Roman" w:cs="Times New Roman"/>
        </w:rPr>
      </w:pPr>
    </w:p>
    <w:p w14:paraId="65D9969D" w14:textId="5D93C356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BCE-3012781</w:t>
      </w:r>
    </w:p>
    <w:p w14:paraId="6773F5F3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4A90FBD8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66AF6136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1315112" w14:textId="31E170BD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C00146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A1C813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296499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6634891E" w14:textId="77777777" w:rsidTr="000D6AEE">
        <w:tc>
          <w:tcPr>
            <w:tcW w:w="2335" w:type="dxa"/>
          </w:tcPr>
          <w:p w14:paraId="371A61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0A283CD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440" w:type="dxa"/>
          </w:tcPr>
          <w:p w14:paraId="44B1CAE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73C1195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1F6054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0F6D9ECA" w14:textId="77777777" w:rsidTr="000D6AEE">
        <w:tc>
          <w:tcPr>
            <w:tcW w:w="2335" w:type="dxa"/>
          </w:tcPr>
          <w:p w14:paraId="087D436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48908C4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440" w:type="dxa"/>
          </w:tcPr>
          <w:p w14:paraId="6C627E4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160" w:type="dxa"/>
          </w:tcPr>
          <w:p w14:paraId="19930E4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3997CBA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B0630" w:rsidRPr="00CF04FB" w14:paraId="6EC149EA" w14:textId="77777777" w:rsidTr="000D6AEE">
        <w:tc>
          <w:tcPr>
            <w:tcW w:w="2335" w:type="dxa"/>
          </w:tcPr>
          <w:p w14:paraId="7B71774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4AFA056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440" w:type="dxa"/>
          </w:tcPr>
          <w:p w14:paraId="74AF4BF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160" w:type="dxa"/>
          </w:tcPr>
          <w:p w14:paraId="0402180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5F5F86C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B0630" w:rsidRPr="00CF04FB" w14:paraId="26D95BCB" w14:textId="77777777" w:rsidTr="000D6AEE">
        <w:tc>
          <w:tcPr>
            <w:tcW w:w="2335" w:type="dxa"/>
          </w:tcPr>
          <w:p w14:paraId="083D91D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3D11AED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40" w:type="dxa"/>
          </w:tcPr>
          <w:p w14:paraId="6A6E3D7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160" w:type="dxa"/>
          </w:tcPr>
          <w:p w14:paraId="223998C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16A72F9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B0630" w:rsidRPr="00CF04FB" w14:paraId="7EFCE7F6" w14:textId="77777777" w:rsidTr="000D6AEE">
        <w:tc>
          <w:tcPr>
            <w:tcW w:w="2335" w:type="dxa"/>
          </w:tcPr>
          <w:p w14:paraId="7BA34D7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42DFBC7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440" w:type="dxa"/>
          </w:tcPr>
          <w:p w14:paraId="1C4D691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</w:tcPr>
          <w:p w14:paraId="60C62F2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2E0B34F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B0630" w:rsidRPr="00CF04FB" w14:paraId="10A39CD1" w14:textId="77777777" w:rsidTr="000D6AEE">
        <w:tc>
          <w:tcPr>
            <w:tcW w:w="2335" w:type="dxa"/>
          </w:tcPr>
          <w:p w14:paraId="475BB39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24057F0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1440" w:type="dxa"/>
          </w:tcPr>
          <w:p w14:paraId="01E5DFF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160" w:type="dxa"/>
          </w:tcPr>
          <w:p w14:paraId="6ACEE79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1E968CC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B0630" w:rsidRPr="00CF04FB" w14:paraId="31BC6E7A" w14:textId="77777777" w:rsidTr="000D6AEE">
        <w:tc>
          <w:tcPr>
            <w:tcW w:w="2335" w:type="dxa"/>
          </w:tcPr>
          <w:p w14:paraId="6FC3AE5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03B36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05EC4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160" w:type="dxa"/>
          </w:tcPr>
          <w:p w14:paraId="6C47322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5C808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B0630" w:rsidRPr="00CF04FB" w14:paraId="07CC3925" w14:textId="77777777" w:rsidTr="000D6AEE">
        <w:tc>
          <w:tcPr>
            <w:tcW w:w="2335" w:type="dxa"/>
          </w:tcPr>
          <w:p w14:paraId="24E6FC3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6695C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8DF92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2160" w:type="dxa"/>
          </w:tcPr>
          <w:p w14:paraId="5F9BDD3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81E8C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B0630" w:rsidRPr="00CF04FB" w14:paraId="606AD952" w14:textId="77777777" w:rsidTr="000D6AEE">
        <w:tc>
          <w:tcPr>
            <w:tcW w:w="2335" w:type="dxa"/>
          </w:tcPr>
          <w:p w14:paraId="40B8F6E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E54AD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761B0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160" w:type="dxa"/>
          </w:tcPr>
          <w:p w14:paraId="2AF71F4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578A55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0630" w:rsidRPr="00CF04FB" w14:paraId="6F20F076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7E200C7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7E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803D62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45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DC6BD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6BCDB68A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5DB5E044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98538" w14:textId="2CCCFCB5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287A2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214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97080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753363C5" w14:textId="77777777" w:rsidTr="000D6AEE">
        <w:tc>
          <w:tcPr>
            <w:tcW w:w="2335" w:type="dxa"/>
          </w:tcPr>
          <w:p w14:paraId="4DE0B66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40C196F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DC9082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44B71A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DC3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4D3A6C92" w14:textId="77777777" w:rsidTr="000D6AEE">
        <w:tc>
          <w:tcPr>
            <w:tcW w:w="2335" w:type="dxa"/>
          </w:tcPr>
          <w:p w14:paraId="4F877533" w14:textId="3891F046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1AA8107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C8BED5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F1CC2C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816A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5293497" w14:textId="77777777" w:rsidTr="000D6AEE">
        <w:tc>
          <w:tcPr>
            <w:tcW w:w="2335" w:type="dxa"/>
          </w:tcPr>
          <w:p w14:paraId="5563FDC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780B5B8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6C28E7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0E0A8B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5A93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D352A2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2E15D929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br w:type="page"/>
      </w:r>
    </w:p>
    <w:p w14:paraId="1738B83D" w14:textId="68C235D3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BCE-331501</w:t>
      </w:r>
    </w:p>
    <w:p w14:paraId="7600B46E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36B957CA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1416C99D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9414402" w14:textId="3C1AA8D4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7DACE8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030F32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0ED9D5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5F39E4CC" w14:textId="77777777" w:rsidTr="000D6AEE">
        <w:tc>
          <w:tcPr>
            <w:tcW w:w="2335" w:type="dxa"/>
          </w:tcPr>
          <w:p w14:paraId="7F69A3A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12B8C0C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440" w:type="dxa"/>
          </w:tcPr>
          <w:p w14:paraId="54C823E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1D1622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53DCEF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5D7756FB" w14:textId="77777777" w:rsidTr="000D6AEE">
        <w:tc>
          <w:tcPr>
            <w:tcW w:w="2335" w:type="dxa"/>
          </w:tcPr>
          <w:p w14:paraId="4B0B44B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0A5916A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440" w:type="dxa"/>
          </w:tcPr>
          <w:p w14:paraId="16C7A2A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160" w:type="dxa"/>
          </w:tcPr>
          <w:p w14:paraId="03B8605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535420B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9B0630" w:rsidRPr="00CF04FB" w14:paraId="7A353EC6" w14:textId="77777777" w:rsidTr="000D6AEE">
        <w:tc>
          <w:tcPr>
            <w:tcW w:w="2335" w:type="dxa"/>
          </w:tcPr>
          <w:p w14:paraId="4650C0D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2303A46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440" w:type="dxa"/>
          </w:tcPr>
          <w:p w14:paraId="5DC7774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160" w:type="dxa"/>
          </w:tcPr>
          <w:p w14:paraId="4838F4C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4C126EE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9B0630" w:rsidRPr="00CF04FB" w14:paraId="34D37696" w14:textId="77777777" w:rsidTr="000D6AEE">
        <w:tc>
          <w:tcPr>
            <w:tcW w:w="2335" w:type="dxa"/>
          </w:tcPr>
          <w:p w14:paraId="67B62E3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53189AD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440" w:type="dxa"/>
          </w:tcPr>
          <w:p w14:paraId="71F8611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60B2E59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4A1F7B8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9B0630" w:rsidRPr="00CF04FB" w14:paraId="1C4BF9C6" w14:textId="77777777" w:rsidTr="000D6AEE">
        <w:tc>
          <w:tcPr>
            <w:tcW w:w="2335" w:type="dxa"/>
          </w:tcPr>
          <w:p w14:paraId="2F79325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578CB88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440" w:type="dxa"/>
          </w:tcPr>
          <w:p w14:paraId="4C90D29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160" w:type="dxa"/>
          </w:tcPr>
          <w:p w14:paraId="6AEC9F4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12A6991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1FC4D8CB" w14:textId="77777777" w:rsidTr="000D6AEE">
        <w:tc>
          <w:tcPr>
            <w:tcW w:w="2335" w:type="dxa"/>
          </w:tcPr>
          <w:p w14:paraId="29B9E26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5B2FF34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440" w:type="dxa"/>
          </w:tcPr>
          <w:p w14:paraId="599474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160" w:type="dxa"/>
          </w:tcPr>
          <w:p w14:paraId="2F36378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4DFDE19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B0630" w:rsidRPr="00CF04FB" w14:paraId="2AFCE4B6" w14:textId="77777777" w:rsidTr="000D6AEE">
        <w:tc>
          <w:tcPr>
            <w:tcW w:w="2335" w:type="dxa"/>
          </w:tcPr>
          <w:p w14:paraId="5DBDA34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2E02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24F60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</w:tcPr>
          <w:p w14:paraId="2BFF285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BC25A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3E4E6A77" w14:textId="77777777" w:rsidTr="000D6AEE">
        <w:tc>
          <w:tcPr>
            <w:tcW w:w="2335" w:type="dxa"/>
          </w:tcPr>
          <w:p w14:paraId="42DEF5C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86CC9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62E69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2160" w:type="dxa"/>
          </w:tcPr>
          <w:p w14:paraId="3135EC5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CB81D7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630" w:rsidRPr="00CF04FB" w14:paraId="08B926F9" w14:textId="77777777" w:rsidTr="000D6AEE">
        <w:tc>
          <w:tcPr>
            <w:tcW w:w="2335" w:type="dxa"/>
          </w:tcPr>
          <w:p w14:paraId="61573F2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1EB8E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A8217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1118272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A2A5A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B0630" w:rsidRPr="00CF04FB" w14:paraId="2C3FBE66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4218E03F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6C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28D5A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3F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F8B4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304637E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2478161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F42B53" w14:textId="7C4A261D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2EE71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54D2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4EAB09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4D4FF0D0" w14:textId="77777777" w:rsidTr="000D6AEE">
        <w:tc>
          <w:tcPr>
            <w:tcW w:w="2335" w:type="dxa"/>
          </w:tcPr>
          <w:p w14:paraId="6A69AFD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738BA77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16.81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FA565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727C92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2B3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963BD36" w14:textId="77777777" w:rsidTr="000D6AEE">
        <w:tc>
          <w:tcPr>
            <w:tcW w:w="2335" w:type="dxa"/>
          </w:tcPr>
          <w:p w14:paraId="0ED643F1" w14:textId="7F038B5C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4CF9290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DA6C48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1CE85F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58E5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296ED72" w14:textId="77777777" w:rsidTr="000D6AEE">
        <w:tc>
          <w:tcPr>
            <w:tcW w:w="2335" w:type="dxa"/>
          </w:tcPr>
          <w:p w14:paraId="425E8D4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405E62F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16.39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00666F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0A984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16A4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FF2E6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5BB63C24" w14:textId="77777777" w:rsidR="009B0630" w:rsidRDefault="009B0630" w:rsidP="009B0630">
      <w:pPr>
        <w:rPr>
          <w:rFonts w:ascii="Times New Roman" w:hAnsi="Times New Roman" w:cs="Times New Roman"/>
        </w:rPr>
      </w:pPr>
    </w:p>
    <w:p w14:paraId="792E2211" w14:textId="6DBCF110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BCE-331502</w:t>
      </w:r>
    </w:p>
    <w:p w14:paraId="79DDE314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01886B34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505D6EAD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B6BB8CB" w14:textId="2E6C0903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E9D045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8BC20B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441207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1302DCA3" w14:textId="77777777" w:rsidTr="000D6AEE">
        <w:tc>
          <w:tcPr>
            <w:tcW w:w="2335" w:type="dxa"/>
          </w:tcPr>
          <w:p w14:paraId="69854CE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39E34D4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40" w:type="dxa"/>
          </w:tcPr>
          <w:p w14:paraId="60184D3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1F565E0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F628E8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52760F14" w14:textId="77777777" w:rsidTr="000D6AEE">
        <w:tc>
          <w:tcPr>
            <w:tcW w:w="2335" w:type="dxa"/>
          </w:tcPr>
          <w:p w14:paraId="6FD71BE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2A5639B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440" w:type="dxa"/>
          </w:tcPr>
          <w:p w14:paraId="48F128B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160" w:type="dxa"/>
          </w:tcPr>
          <w:p w14:paraId="66B43C1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B72140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B0630" w:rsidRPr="00CF04FB" w14:paraId="4F55C3D0" w14:textId="77777777" w:rsidTr="000D6AEE">
        <w:tc>
          <w:tcPr>
            <w:tcW w:w="2335" w:type="dxa"/>
          </w:tcPr>
          <w:p w14:paraId="162D4C4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62D3393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40" w:type="dxa"/>
          </w:tcPr>
          <w:p w14:paraId="5C4710D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160" w:type="dxa"/>
          </w:tcPr>
          <w:p w14:paraId="2D5E708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1B0FFC7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B0630" w:rsidRPr="00CF04FB" w14:paraId="226C46E4" w14:textId="77777777" w:rsidTr="000D6AEE">
        <w:tc>
          <w:tcPr>
            <w:tcW w:w="2335" w:type="dxa"/>
          </w:tcPr>
          <w:p w14:paraId="2845E73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1CC31A7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440" w:type="dxa"/>
          </w:tcPr>
          <w:p w14:paraId="03DB350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0B8D1ED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3FE3D4E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B0630" w:rsidRPr="00CF04FB" w14:paraId="2968AC6D" w14:textId="77777777" w:rsidTr="000D6AEE">
        <w:tc>
          <w:tcPr>
            <w:tcW w:w="2335" w:type="dxa"/>
          </w:tcPr>
          <w:p w14:paraId="2EE8548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22004FC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440" w:type="dxa"/>
          </w:tcPr>
          <w:p w14:paraId="01018C1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160" w:type="dxa"/>
          </w:tcPr>
          <w:p w14:paraId="33681F6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3C8A86F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B0630" w:rsidRPr="00CF04FB" w14:paraId="32214BC8" w14:textId="77777777" w:rsidTr="000D6AEE">
        <w:tc>
          <w:tcPr>
            <w:tcW w:w="2335" w:type="dxa"/>
          </w:tcPr>
          <w:p w14:paraId="2FABA8F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677DDDA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440" w:type="dxa"/>
          </w:tcPr>
          <w:p w14:paraId="62AC316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160" w:type="dxa"/>
          </w:tcPr>
          <w:p w14:paraId="02F0BE1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8B991F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B0630" w:rsidRPr="00CF04FB" w14:paraId="143F6B59" w14:textId="77777777" w:rsidTr="000D6AEE">
        <w:tc>
          <w:tcPr>
            <w:tcW w:w="2335" w:type="dxa"/>
          </w:tcPr>
          <w:p w14:paraId="4265181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59FB6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0F72F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160" w:type="dxa"/>
          </w:tcPr>
          <w:p w14:paraId="19BA5CE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8BB8D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9B0630" w:rsidRPr="00CF04FB" w14:paraId="77C2CB9F" w14:textId="77777777" w:rsidTr="000D6AEE">
        <w:tc>
          <w:tcPr>
            <w:tcW w:w="2335" w:type="dxa"/>
          </w:tcPr>
          <w:p w14:paraId="6005FB3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843F0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73EB8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160" w:type="dxa"/>
          </w:tcPr>
          <w:p w14:paraId="161E918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C19D7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B0630" w:rsidRPr="00CF04FB" w14:paraId="0F8861B0" w14:textId="77777777" w:rsidTr="000D6AEE">
        <w:tc>
          <w:tcPr>
            <w:tcW w:w="2335" w:type="dxa"/>
          </w:tcPr>
          <w:p w14:paraId="070A9A7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D4528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6F88B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160" w:type="dxa"/>
          </w:tcPr>
          <w:p w14:paraId="29DDD09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981C7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B0630" w:rsidRPr="00CF04FB" w14:paraId="2E8562FD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7E1864B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C12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EA0A8C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647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53021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2AD8D7F1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4E3343F9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C38CEA" w14:textId="0ABDC189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019E3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04A9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DAB183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4CC55AF6" w14:textId="77777777" w:rsidTr="000D6AEE">
        <w:tc>
          <w:tcPr>
            <w:tcW w:w="2335" w:type="dxa"/>
          </w:tcPr>
          <w:p w14:paraId="5BE0FAD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6104C09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E5DEFB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4C257E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2647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1243D413" w14:textId="77777777" w:rsidTr="000D6AEE">
        <w:tc>
          <w:tcPr>
            <w:tcW w:w="2335" w:type="dxa"/>
          </w:tcPr>
          <w:p w14:paraId="4A3F6383" w14:textId="6A5FBA23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7CD971C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CEDD8C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BA2E2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75C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732AEFB" w14:textId="77777777" w:rsidTr="000D6AEE">
        <w:tc>
          <w:tcPr>
            <w:tcW w:w="2335" w:type="dxa"/>
          </w:tcPr>
          <w:p w14:paraId="4F2BA2E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5814C1F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F62295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3D8340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02F4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44C6A0" w14:textId="7D956AA0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BCE-331503</w:t>
      </w:r>
    </w:p>
    <w:p w14:paraId="7E849A8C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1912D820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4029F66E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4DFA052" w14:textId="4270FE11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21632C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A6864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77971E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0F1237D5" w14:textId="77777777" w:rsidTr="000D6AEE">
        <w:tc>
          <w:tcPr>
            <w:tcW w:w="2335" w:type="dxa"/>
          </w:tcPr>
          <w:p w14:paraId="02FA021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4C2FFF1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440" w:type="dxa"/>
          </w:tcPr>
          <w:p w14:paraId="685A903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755B83E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2E0A47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69D8719E" w14:textId="77777777" w:rsidTr="000D6AEE">
        <w:tc>
          <w:tcPr>
            <w:tcW w:w="2335" w:type="dxa"/>
          </w:tcPr>
          <w:p w14:paraId="48F4AE9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6DDB746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440" w:type="dxa"/>
          </w:tcPr>
          <w:p w14:paraId="170D9C8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003B1D3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76DBD07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B0630" w:rsidRPr="00CF04FB" w14:paraId="66791A6C" w14:textId="77777777" w:rsidTr="000D6AEE">
        <w:tc>
          <w:tcPr>
            <w:tcW w:w="2335" w:type="dxa"/>
          </w:tcPr>
          <w:p w14:paraId="2F8B984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195DF2D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440" w:type="dxa"/>
          </w:tcPr>
          <w:p w14:paraId="443A4FD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160" w:type="dxa"/>
          </w:tcPr>
          <w:p w14:paraId="0C16B3B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5DFA4D6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9B0630" w:rsidRPr="00CF04FB" w14:paraId="788A9E5F" w14:textId="77777777" w:rsidTr="000D6AEE">
        <w:tc>
          <w:tcPr>
            <w:tcW w:w="2335" w:type="dxa"/>
          </w:tcPr>
          <w:p w14:paraId="4EF79A8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0BF0A34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440" w:type="dxa"/>
          </w:tcPr>
          <w:p w14:paraId="29B3EFD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160" w:type="dxa"/>
          </w:tcPr>
          <w:p w14:paraId="7706102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3EA5C5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630" w:rsidRPr="00CF04FB" w14:paraId="5C11BE2F" w14:textId="77777777" w:rsidTr="000D6AEE">
        <w:tc>
          <w:tcPr>
            <w:tcW w:w="2335" w:type="dxa"/>
          </w:tcPr>
          <w:p w14:paraId="78EA9D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5BB640B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440" w:type="dxa"/>
          </w:tcPr>
          <w:p w14:paraId="79DD467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160" w:type="dxa"/>
          </w:tcPr>
          <w:p w14:paraId="38E5B7A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5FC322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B0630" w:rsidRPr="00CF04FB" w14:paraId="3AAA6F83" w14:textId="77777777" w:rsidTr="000D6AEE">
        <w:tc>
          <w:tcPr>
            <w:tcW w:w="2335" w:type="dxa"/>
          </w:tcPr>
          <w:p w14:paraId="2FBA030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0E137B0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440" w:type="dxa"/>
          </w:tcPr>
          <w:p w14:paraId="1C63F16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4130837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7D30228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B0630" w:rsidRPr="00CF04FB" w14:paraId="62C89717" w14:textId="77777777" w:rsidTr="000D6AEE">
        <w:tc>
          <w:tcPr>
            <w:tcW w:w="2335" w:type="dxa"/>
          </w:tcPr>
          <w:p w14:paraId="3784CAD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6629D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5FFC7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5B662A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6996B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B0630" w:rsidRPr="00CF04FB" w14:paraId="6A7546BD" w14:textId="77777777" w:rsidTr="000D6AEE">
        <w:tc>
          <w:tcPr>
            <w:tcW w:w="2335" w:type="dxa"/>
          </w:tcPr>
          <w:p w14:paraId="445943A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85C9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976B9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</w:tcPr>
          <w:p w14:paraId="5E071CA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E21CB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B0630" w:rsidRPr="00CF04FB" w14:paraId="5FC411F9" w14:textId="77777777" w:rsidTr="000D6AEE">
        <w:tc>
          <w:tcPr>
            <w:tcW w:w="2335" w:type="dxa"/>
          </w:tcPr>
          <w:p w14:paraId="3027B6D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9D814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75B60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160" w:type="dxa"/>
          </w:tcPr>
          <w:p w14:paraId="6DD5ACD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53D2A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630" w:rsidRPr="00CF04FB" w14:paraId="59F9DCEE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7FF2731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404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4DA90F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6B2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BAF8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3697AD3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619D7F3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2611E8" w14:textId="1E13A3ED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89E29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5ED7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3362FE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7CB93A05" w14:textId="77777777" w:rsidTr="000D6AEE">
        <w:tc>
          <w:tcPr>
            <w:tcW w:w="2335" w:type="dxa"/>
          </w:tcPr>
          <w:p w14:paraId="0099AE3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22BE66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D639F0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1D88F1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763B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19420FA" w14:textId="77777777" w:rsidTr="000D6AEE">
        <w:tc>
          <w:tcPr>
            <w:tcW w:w="2335" w:type="dxa"/>
          </w:tcPr>
          <w:p w14:paraId="68F3CA26" w14:textId="2215EE71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6B9F093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F31750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7632C5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8D22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C4E6346" w14:textId="77777777" w:rsidTr="000D6AEE">
        <w:tc>
          <w:tcPr>
            <w:tcW w:w="2335" w:type="dxa"/>
          </w:tcPr>
          <w:p w14:paraId="3AC1F0C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3D4014C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E6B1A5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DDE97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F766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3590F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00BC6C1F" w14:textId="77777777" w:rsidR="009B0630" w:rsidRDefault="009B0630" w:rsidP="009B0630">
      <w:pPr>
        <w:rPr>
          <w:rFonts w:ascii="Times New Roman" w:hAnsi="Times New Roman" w:cs="Times New Roman"/>
        </w:rPr>
      </w:pPr>
    </w:p>
    <w:p w14:paraId="578C824E" w14:textId="70B59768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:  </w:t>
      </w:r>
      <w:r w:rsidRPr="00CF04FB">
        <w:rPr>
          <w:rFonts w:ascii="Times New Roman" w:hAnsi="Times New Roman" w:cs="Times New Roman"/>
        </w:rPr>
        <w:t>BCE-BC15240103</w:t>
      </w:r>
    </w:p>
    <w:p w14:paraId="446FC826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31EC8583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0F5E28A2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A4985A0" w14:textId="2DF7A8AD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1981C7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38A180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3C8302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2632C790" w14:textId="77777777" w:rsidTr="000D6AEE">
        <w:tc>
          <w:tcPr>
            <w:tcW w:w="2335" w:type="dxa"/>
          </w:tcPr>
          <w:p w14:paraId="59CACCA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541A093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440" w:type="dxa"/>
          </w:tcPr>
          <w:p w14:paraId="05E182E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</w:tcPr>
          <w:p w14:paraId="37681A5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FC7FC9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6CB6D592" w14:textId="77777777" w:rsidTr="000D6AEE">
        <w:tc>
          <w:tcPr>
            <w:tcW w:w="2335" w:type="dxa"/>
          </w:tcPr>
          <w:p w14:paraId="051E9F7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02D7EB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440" w:type="dxa"/>
          </w:tcPr>
          <w:p w14:paraId="3066D70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160" w:type="dxa"/>
          </w:tcPr>
          <w:p w14:paraId="7452DBD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9C7AFF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B0630" w:rsidRPr="00CF04FB" w14:paraId="7F7D0551" w14:textId="77777777" w:rsidTr="000D6AEE">
        <w:tc>
          <w:tcPr>
            <w:tcW w:w="2335" w:type="dxa"/>
          </w:tcPr>
          <w:p w14:paraId="3D2C346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63E24E4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40" w:type="dxa"/>
          </w:tcPr>
          <w:p w14:paraId="7BE18F8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160" w:type="dxa"/>
          </w:tcPr>
          <w:p w14:paraId="174BD5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533A528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B0630" w:rsidRPr="00CF04FB" w14:paraId="2608A320" w14:textId="77777777" w:rsidTr="000D6AEE">
        <w:tc>
          <w:tcPr>
            <w:tcW w:w="2335" w:type="dxa"/>
          </w:tcPr>
          <w:p w14:paraId="7A41F36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4F2498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440" w:type="dxa"/>
          </w:tcPr>
          <w:p w14:paraId="49F3BDF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160" w:type="dxa"/>
          </w:tcPr>
          <w:p w14:paraId="26CC114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7DBF115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B0630" w:rsidRPr="00CF04FB" w14:paraId="2C092207" w14:textId="77777777" w:rsidTr="000D6AEE">
        <w:tc>
          <w:tcPr>
            <w:tcW w:w="2335" w:type="dxa"/>
          </w:tcPr>
          <w:p w14:paraId="3466D3C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67D721E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440" w:type="dxa"/>
          </w:tcPr>
          <w:p w14:paraId="433C85F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03ED2A6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3C80960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B0630" w:rsidRPr="00CF04FB" w14:paraId="67463CBF" w14:textId="77777777" w:rsidTr="000D6AEE">
        <w:tc>
          <w:tcPr>
            <w:tcW w:w="2335" w:type="dxa"/>
          </w:tcPr>
          <w:p w14:paraId="756B2DF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2BCEA1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1440" w:type="dxa"/>
          </w:tcPr>
          <w:p w14:paraId="3106B2B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2160" w:type="dxa"/>
          </w:tcPr>
          <w:p w14:paraId="6902FBA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327C57E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B0630" w:rsidRPr="00CF04FB" w14:paraId="4CF6A377" w14:textId="77777777" w:rsidTr="000D6AEE">
        <w:tc>
          <w:tcPr>
            <w:tcW w:w="2335" w:type="dxa"/>
          </w:tcPr>
          <w:p w14:paraId="0C954BD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8A885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9E1FC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160" w:type="dxa"/>
          </w:tcPr>
          <w:p w14:paraId="1C36779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96318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B0630" w:rsidRPr="00CF04FB" w14:paraId="4C27FC77" w14:textId="77777777" w:rsidTr="000D6AEE">
        <w:tc>
          <w:tcPr>
            <w:tcW w:w="2335" w:type="dxa"/>
          </w:tcPr>
          <w:p w14:paraId="2CE9F8A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4F22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FA0FE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2160" w:type="dxa"/>
          </w:tcPr>
          <w:p w14:paraId="1D407C3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DEB04E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B0630" w:rsidRPr="00CF04FB" w14:paraId="562410A2" w14:textId="77777777" w:rsidTr="000D6AEE">
        <w:tc>
          <w:tcPr>
            <w:tcW w:w="2335" w:type="dxa"/>
          </w:tcPr>
          <w:p w14:paraId="350D464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4F1FD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84439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2160" w:type="dxa"/>
          </w:tcPr>
          <w:p w14:paraId="2C22715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63F7B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B0630" w:rsidRPr="00CF04FB" w14:paraId="7A6CB88A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409F042C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E65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E4C06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BC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8C22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6C001DCA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37F081B1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AC2B02" w14:textId="56E6929F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FABF0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0089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6BC3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0B316144" w14:textId="77777777" w:rsidTr="000D6AEE">
        <w:tc>
          <w:tcPr>
            <w:tcW w:w="2335" w:type="dxa"/>
          </w:tcPr>
          <w:p w14:paraId="5B83C00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686B7B5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671FB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53917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76BD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43C7477" w14:textId="77777777" w:rsidTr="000D6AEE">
        <w:tc>
          <w:tcPr>
            <w:tcW w:w="2335" w:type="dxa"/>
          </w:tcPr>
          <w:p w14:paraId="006D23BB" w14:textId="1D5502DC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76006EF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9AEA04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B47840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00DC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40A2467" w14:textId="77777777" w:rsidTr="000D6AEE">
        <w:tc>
          <w:tcPr>
            <w:tcW w:w="2335" w:type="dxa"/>
          </w:tcPr>
          <w:p w14:paraId="1E4CBA6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009875C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3EA79F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556583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4219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5C804" w14:textId="77777777" w:rsidR="009B0630" w:rsidRPr="00CF04FB" w:rsidRDefault="009B0630" w:rsidP="009B0630">
      <w:pPr>
        <w:rPr>
          <w:rFonts w:ascii="Times New Roman" w:hAnsi="Times New Roman" w:cs="Times New Roman"/>
          <w:i/>
        </w:rPr>
      </w:pPr>
      <w:r w:rsidRPr="00CF04FB">
        <w:rPr>
          <w:rFonts w:ascii="Times New Roman" w:hAnsi="Times New Roman" w:cs="Times New Roman"/>
          <w:i/>
        </w:rPr>
        <w:br w:type="page"/>
      </w:r>
    </w:p>
    <w:p w14:paraId="3D96E68B" w14:textId="54D7D8DD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BCE-TP20141210-R</w:t>
      </w:r>
    </w:p>
    <w:p w14:paraId="611738F6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462605B2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52F126BC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867CD52" w14:textId="7C6CD27D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13C802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90D4F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EA835D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681DE2A2" w14:textId="77777777" w:rsidTr="000D6AEE">
        <w:tc>
          <w:tcPr>
            <w:tcW w:w="2335" w:type="dxa"/>
          </w:tcPr>
          <w:p w14:paraId="3BB544E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3421E19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440" w:type="dxa"/>
          </w:tcPr>
          <w:p w14:paraId="12D8E94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160" w:type="dxa"/>
          </w:tcPr>
          <w:p w14:paraId="267A06D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265028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07C9F50F" w14:textId="77777777" w:rsidTr="000D6AEE">
        <w:tc>
          <w:tcPr>
            <w:tcW w:w="2335" w:type="dxa"/>
          </w:tcPr>
          <w:p w14:paraId="5D8C3D8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6821A50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40" w:type="dxa"/>
          </w:tcPr>
          <w:p w14:paraId="6DC606B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60FB90C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DED686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9B0630" w:rsidRPr="00CF04FB" w14:paraId="5D844DE9" w14:textId="77777777" w:rsidTr="000D6AEE">
        <w:tc>
          <w:tcPr>
            <w:tcW w:w="2335" w:type="dxa"/>
          </w:tcPr>
          <w:p w14:paraId="69CAED2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28F9E86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440" w:type="dxa"/>
          </w:tcPr>
          <w:p w14:paraId="1655D0C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160" w:type="dxa"/>
          </w:tcPr>
          <w:p w14:paraId="7537F4F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7EBE16F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B0630" w:rsidRPr="00CF04FB" w14:paraId="510BC830" w14:textId="77777777" w:rsidTr="000D6AEE">
        <w:tc>
          <w:tcPr>
            <w:tcW w:w="2335" w:type="dxa"/>
          </w:tcPr>
          <w:p w14:paraId="37ADBC6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1F22D18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440" w:type="dxa"/>
          </w:tcPr>
          <w:p w14:paraId="15CD14C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77A26C2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D1D1DC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B0630" w:rsidRPr="00CF04FB" w14:paraId="008B4BEC" w14:textId="77777777" w:rsidTr="000D6AEE">
        <w:tc>
          <w:tcPr>
            <w:tcW w:w="2335" w:type="dxa"/>
          </w:tcPr>
          <w:p w14:paraId="4C0BA71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7614F18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440" w:type="dxa"/>
          </w:tcPr>
          <w:p w14:paraId="1C834E7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160" w:type="dxa"/>
          </w:tcPr>
          <w:p w14:paraId="746523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6FFDB4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16A7E64F" w14:textId="77777777" w:rsidTr="000D6AEE">
        <w:tc>
          <w:tcPr>
            <w:tcW w:w="2335" w:type="dxa"/>
          </w:tcPr>
          <w:p w14:paraId="7AEC412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548C334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440" w:type="dxa"/>
          </w:tcPr>
          <w:p w14:paraId="21984CD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160" w:type="dxa"/>
          </w:tcPr>
          <w:p w14:paraId="6AC98FD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51A088A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B0630" w:rsidRPr="00CF04FB" w14:paraId="75E135F4" w14:textId="77777777" w:rsidTr="000D6AEE">
        <w:tc>
          <w:tcPr>
            <w:tcW w:w="2335" w:type="dxa"/>
          </w:tcPr>
          <w:p w14:paraId="423B248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592A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09012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160" w:type="dxa"/>
          </w:tcPr>
          <w:p w14:paraId="757E8E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1DB62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B0630" w:rsidRPr="00CF04FB" w14:paraId="5F86699D" w14:textId="77777777" w:rsidTr="000D6AEE">
        <w:tc>
          <w:tcPr>
            <w:tcW w:w="2335" w:type="dxa"/>
          </w:tcPr>
          <w:p w14:paraId="5BDFB84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ADE96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5.89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DF7A7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160" w:type="dxa"/>
          </w:tcPr>
          <w:p w14:paraId="0A6B137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D6479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B0630" w:rsidRPr="00CF04FB" w14:paraId="79BDD064" w14:textId="77777777" w:rsidTr="000D6AEE">
        <w:tc>
          <w:tcPr>
            <w:tcW w:w="2335" w:type="dxa"/>
          </w:tcPr>
          <w:p w14:paraId="428E977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5635A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553E0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2160" w:type="dxa"/>
          </w:tcPr>
          <w:p w14:paraId="5A3A78A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326E4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B0630" w:rsidRPr="00CF04FB" w14:paraId="1656F613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01F07F6C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05B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C8E8C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7DC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D27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7CBF4D4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212AFE63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6DDA62" w14:textId="2B633546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5FA0D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A3DA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B4E68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0C5CA8FE" w14:textId="77777777" w:rsidTr="000D6AEE">
        <w:tc>
          <w:tcPr>
            <w:tcW w:w="2335" w:type="dxa"/>
          </w:tcPr>
          <w:p w14:paraId="367C250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53A590B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6.64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1AD195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8B1F1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E2BA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20506B7E" w14:textId="77777777" w:rsidTr="000D6AEE">
        <w:tc>
          <w:tcPr>
            <w:tcW w:w="2335" w:type="dxa"/>
          </w:tcPr>
          <w:p w14:paraId="59CBC228" w14:textId="7D49E961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78E466F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D4F549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76E1C7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7172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7D767035" w14:textId="77777777" w:rsidTr="000D6AEE">
        <w:tc>
          <w:tcPr>
            <w:tcW w:w="2335" w:type="dxa"/>
          </w:tcPr>
          <w:p w14:paraId="4838945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3D9ED59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14.19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1741C5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E6F97A3" w14:textId="0E185883" w:rsidR="009B0630" w:rsidRPr="00CF04FB" w:rsidRDefault="00D60A89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08E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BBA49A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10A691D2" w14:textId="77777777" w:rsidR="009B0630" w:rsidRDefault="009B0630" w:rsidP="009B0630">
      <w:pPr>
        <w:rPr>
          <w:rFonts w:ascii="Times New Roman" w:hAnsi="Times New Roman" w:cs="Times New Roman"/>
        </w:rPr>
      </w:pPr>
    </w:p>
    <w:p w14:paraId="6134F204" w14:textId="0B03517F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:  </w:t>
      </w:r>
      <w:r w:rsidRPr="00CF04FB">
        <w:rPr>
          <w:rFonts w:ascii="Times New Roman" w:hAnsi="Times New Roman" w:cs="Times New Roman"/>
        </w:rPr>
        <w:t>BCE-RP0712</w:t>
      </w:r>
    </w:p>
    <w:p w14:paraId="47355D4B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37CD1492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6548D7EA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6902BC3" w14:textId="33FC84D9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3EBA61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24EA5E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E40677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4EFEDBDB" w14:textId="77777777" w:rsidTr="000D6AEE">
        <w:tc>
          <w:tcPr>
            <w:tcW w:w="2335" w:type="dxa"/>
          </w:tcPr>
          <w:p w14:paraId="519AF9A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4167987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40" w:type="dxa"/>
          </w:tcPr>
          <w:p w14:paraId="3E50D4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3DE90FC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1100790" w14:textId="77777777" w:rsidR="009B0630" w:rsidRPr="00CF04FB" w:rsidRDefault="009B0630" w:rsidP="00C570F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15BA90BD" w14:textId="77777777" w:rsidTr="000D6AEE">
        <w:tc>
          <w:tcPr>
            <w:tcW w:w="2335" w:type="dxa"/>
          </w:tcPr>
          <w:p w14:paraId="2245316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</w:tcPr>
          <w:p w14:paraId="53853C3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396512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160" w:type="dxa"/>
          </w:tcPr>
          <w:p w14:paraId="7573774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9B311B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B0630" w:rsidRPr="00CF04FB" w14:paraId="7550182C" w14:textId="77777777" w:rsidTr="000D6AEE">
        <w:tc>
          <w:tcPr>
            <w:tcW w:w="2335" w:type="dxa"/>
          </w:tcPr>
          <w:p w14:paraId="314F698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14:paraId="4E90CCE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1440" w:type="dxa"/>
          </w:tcPr>
          <w:p w14:paraId="2411270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2160" w:type="dxa"/>
          </w:tcPr>
          <w:p w14:paraId="411366C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05B9AD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B0630" w:rsidRPr="00CF04FB" w14:paraId="3501885D" w14:textId="77777777" w:rsidTr="000D6AEE">
        <w:tc>
          <w:tcPr>
            <w:tcW w:w="2335" w:type="dxa"/>
          </w:tcPr>
          <w:p w14:paraId="1CBC49A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7E62FE5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1440" w:type="dxa"/>
          </w:tcPr>
          <w:p w14:paraId="36C4F61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160" w:type="dxa"/>
          </w:tcPr>
          <w:p w14:paraId="3D210B0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37B1A48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B0630" w:rsidRPr="00CF04FB" w14:paraId="5E706348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16D92FE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7BC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0C2003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29D8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41CEB10D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189D9D52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A9164C" w14:textId="28D11740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C954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330D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6866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3E8BE6DB" w14:textId="77777777" w:rsidTr="000D6AEE">
        <w:tc>
          <w:tcPr>
            <w:tcW w:w="2335" w:type="dxa"/>
          </w:tcPr>
          <w:p w14:paraId="316B09D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7264D62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17811E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65370E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F51A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7600C634" w14:textId="77777777" w:rsidTr="000D6AEE">
        <w:tc>
          <w:tcPr>
            <w:tcW w:w="2335" w:type="dxa"/>
          </w:tcPr>
          <w:p w14:paraId="18243714" w14:textId="04EA9B24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4061B3B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F39195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C8E54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5209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65B81054" w14:textId="77777777" w:rsidTr="000D6AEE">
        <w:tc>
          <w:tcPr>
            <w:tcW w:w="2335" w:type="dxa"/>
          </w:tcPr>
          <w:p w14:paraId="16C0A85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7805BC6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15.99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F1AD1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2D3D5B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9B09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575C4D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6F7CE47D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br w:type="page"/>
      </w:r>
    </w:p>
    <w:p w14:paraId="25568C8B" w14:textId="6367E88B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BCE-B14J0808</w:t>
      </w:r>
    </w:p>
    <w:p w14:paraId="045A712A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980"/>
        <w:gridCol w:w="2160"/>
      </w:tblGrid>
      <w:tr w:rsidR="009B0630" w:rsidRPr="00CF04FB" w14:paraId="048236E6" w14:textId="77777777" w:rsidTr="00724E22">
        <w:tc>
          <w:tcPr>
            <w:tcW w:w="2425" w:type="dxa"/>
            <w:shd w:val="clear" w:color="auto" w:fill="F2F2F2" w:themeFill="background1" w:themeFillShade="F2"/>
          </w:tcPr>
          <w:p w14:paraId="1CB4025F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0CBAD22" w14:textId="1D970A45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0BDDB2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E8D2CE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9015E0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7055452C" w14:textId="77777777" w:rsidTr="00724E22">
        <w:tc>
          <w:tcPr>
            <w:tcW w:w="2425" w:type="dxa"/>
          </w:tcPr>
          <w:p w14:paraId="1280DA0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440" w:type="dxa"/>
          </w:tcPr>
          <w:p w14:paraId="74398C3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440" w:type="dxa"/>
          </w:tcPr>
          <w:p w14:paraId="5EC5315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0" w:type="dxa"/>
          </w:tcPr>
          <w:p w14:paraId="4E0286C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1F99EF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5B07A84F" w14:textId="77777777" w:rsidTr="00724E22">
        <w:tc>
          <w:tcPr>
            <w:tcW w:w="2425" w:type="dxa"/>
          </w:tcPr>
          <w:p w14:paraId="124B8D1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</w:tcPr>
          <w:p w14:paraId="7770789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440" w:type="dxa"/>
          </w:tcPr>
          <w:p w14:paraId="30CFB69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980" w:type="dxa"/>
          </w:tcPr>
          <w:p w14:paraId="2B9B8DA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0996034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B0630" w:rsidRPr="00CF04FB" w14:paraId="72EFC4E8" w14:textId="77777777" w:rsidTr="00724E22">
        <w:tc>
          <w:tcPr>
            <w:tcW w:w="2425" w:type="dxa"/>
          </w:tcPr>
          <w:p w14:paraId="4FD0B46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</w:tcPr>
          <w:p w14:paraId="14A63EE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440" w:type="dxa"/>
          </w:tcPr>
          <w:p w14:paraId="48C8933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980" w:type="dxa"/>
          </w:tcPr>
          <w:p w14:paraId="51C56B2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1DAC381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B0630" w:rsidRPr="00CF04FB" w14:paraId="63B6E3C9" w14:textId="77777777" w:rsidTr="00724E22">
        <w:tc>
          <w:tcPr>
            <w:tcW w:w="2425" w:type="dxa"/>
          </w:tcPr>
          <w:p w14:paraId="7361E53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14:paraId="0DA3C01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440" w:type="dxa"/>
          </w:tcPr>
          <w:p w14:paraId="5E0DA42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980" w:type="dxa"/>
          </w:tcPr>
          <w:p w14:paraId="4C5F259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7930E46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B0630" w:rsidRPr="00CF04FB" w14:paraId="3F316DA1" w14:textId="77777777" w:rsidTr="00724E22">
        <w:tc>
          <w:tcPr>
            <w:tcW w:w="2425" w:type="dxa"/>
          </w:tcPr>
          <w:p w14:paraId="7A4D81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14:paraId="0A7AFD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440" w:type="dxa"/>
          </w:tcPr>
          <w:p w14:paraId="2B5E128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980" w:type="dxa"/>
          </w:tcPr>
          <w:p w14:paraId="52F93B4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3E64E1A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B0630" w:rsidRPr="00CF04FB" w14:paraId="5B63673E" w14:textId="77777777" w:rsidTr="00724E22">
        <w:tc>
          <w:tcPr>
            <w:tcW w:w="2425" w:type="dxa"/>
          </w:tcPr>
          <w:p w14:paraId="6647888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14:paraId="614DE1C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440" w:type="dxa"/>
          </w:tcPr>
          <w:p w14:paraId="03DCAD9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980" w:type="dxa"/>
          </w:tcPr>
          <w:p w14:paraId="43FB9F0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7113D2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B0630" w:rsidRPr="00CF04FB" w14:paraId="4A535CE1" w14:textId="77777777" w:rsidTr="00724E22">
        <w:tc>
          <w:tcPr>
            <w:tcW w:w="2425" w:type="dxa"/>
          </w:tcPr>
          <w:p w14:paraId="0F7C953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74EA5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50095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980" w:type="dxa"/>
          </w:tcPr>
          <w:p w14:paraId="7A84203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D5636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B0630" w:rsidRPr="00CF04FB" w14:paraId="26FD63CA" w14:textId="77777777" w:rsidTr="00724E22">
        <w:tc>
          <w:tcPr>
            <w:tcW w:w="2425" w:type="dxa"/>
          </w:tcPr>
          <w:p w14:paraId="7B1F043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F2BCE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46BA6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0" w:type="dxa"/>
          </w:tcPr>
          <w:p w14:paraId="0A6A917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5C0A2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B0630" w:rsidRPr="00CF04FB" w14:paraId="76166D40" w14:textId="77777777" w:rsidTr="00724E22">
        <w:tc>
          <w:tcPr>
            <w:tcW w:w="2425" w:type="dxa"/>
            <w:tcBorders>
              <w:right w:val="nil"/>
            </w:tcBorders>
            <w:shd w:val="clear" w:color="auto" w:fill="auto"/>
          </w:tcPr>
          <w:p w14:paraId="61EA0104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DEF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B80592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895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34CC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7286BE8A" w14:textId="77777777" w:rsidTr="00724E22">
        <w:tc>
          <w:tcPr>
            <w:tcW w:w="2425" w:type="dxa"/>
            <w:shd w:val="clear" w:color="auto" w:fill="F2F2F2" w:themeFill="background1" w:themeFillShade="F2"/>
          </w:tcPr>
          <w:p w14:paraId="556A181A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2B6DFE" w14:textId="5A472DAF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278D3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1CFC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6BBEE2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756C14C0" w14:textId="77777777" w:rsidTr="00724E22">
        <w:tc>
          <w:tcPr>
            <w:tcW w:w="2425" w:type="dxa"/>
          </w:tcPr>
          <w:p w14:paraId="36489730" w14:textId="758DB0F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  <w:r w:rsidR="00724E22" w:rsidRPr="009C3B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40" w:type="dxa"/>
          </w:tcPr>
          <w:p w14:paraId="19DCEB60" w14:textId="69072267" w:rsidR="009B0630" w:rsidRPr="00D5214D" w:rsidRDefault="001F18E1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B3E7AAC" w14:textId="60363DCB" w:rsidR="009B0630" w:rsidRPr="00D5214D" w:rsidRDefault="00EF7BCC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6F4E6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80C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AA5E1A6" w14:textId="77777777" w:rsidTr="00724E22">
        <w:tc>
          <w:tcPr>
            <w:tcW w:w="2425" w:type="dxa"/>
          </w:tcPr>
          <w:p w14:paraId="4E650E73" w14:textId="0F8E958C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440" w:type="dxa"/>
          </w:tcPr>
          <w:p w14:paraId="15E81FA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51232C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632436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1653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A62CA90" w14:textId="77777777" w:rsidTr="00724E22">
        <w:tc>
          <w:tcPr>
            <w:tcW w:w="2425" w:type="dxa"/>
          </w:tcPr>
          <w:p w14:paraId="28CE8D5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440" w:type="dxa"/>
          </w:tcPr>
          <w:p w14:paraId="171071D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29.23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CEBD9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F06335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C7C2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01E895" w14:textId="681CD387" w:rsidR="009B0630" w:rsidRPr="00CF04FB" w:rsidRDefault="009C3BD7" w:rsidP="009B0630">
      <w:pPr>
        <w:rPr>
          <w:rFonts w:ascii="Times New Roman" w:hAnsi="Times New Roman" w:cs="Times New Roman"/>
        </w:rPr>
      </w:pPr>
      <w:r w:rsidRPr="009C3BD7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Sample B14J0808 was run at the same time as sample 3012782 (Table 3); the 125 </w:t>
      </w:r>
      <w:r w:rsidR="00724E22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</w:rPr>
        <w:t>g/ml BCE from Table 3 served as the BCE 3012782 control value for Table 11.</w:t>
      </w:r>
    </w:p>
    <w:p w14:paraId="33444FAE" w14:textId="77777777" w:rsidR="009B0630" w:rsidRDefault="009B0630" w:rsidP="009B0630">
      <w:pPr>
        <w:rPr>
          <w:rFonts w:ascii="Times New Roman" w:hAnsi="Times New Roman" w:cs="Times New Roman"/>
        </w:rPr>
      </w:pPr>
    </w:p>
    <w:p w14:paraId="5EB19ED9" w14:textId="5D604EF4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BCE-BCO2.5A2401090310</w:t>
      </w:r>
    </w:p>
    <w:p w14:paraId="5F27E676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596B82B4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18C131D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6A1809C" w14:textId="5196460E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CCFBE6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8C87E8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EAB370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7E172140" w14:textId="77777777" w:rsidTr="000D6AEE">
        <w:tc>
          <w:tcPr>
            <w:tcW w:w="2335" w:type="dxa"/>
          </w:tcPr>
          <w:p w14:paraId="0C8207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73736B6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440" w:type="dxa"/>
          </w:tcPr>
          <w:p w14:paraId="2DECB71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6D38073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97A262C" w14:textId="77777777" w:rsidR="009B0630" w:rsidRPr="00CF04FB" w:rsidRDefault="009B0630" w:rsidP="00C570F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6D4EF759" w14:textId="77777777" w:rsidTr="000D6AEE">
        <w:tc>
          <w:tcPr>
            <w:tcW w:w="2335" w:type="dxa"/>
          </w:tcPr>
          <w:p w14:paraId="5863881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</w:tcPr>
          <w:p w14:paraId="7D68AD4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440" w:type="dxa"/>
          </w:tcPr>
          <w:p w14:paraId="33CD3FB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160" w:type="dxa"/>
          </w:tcPr>
          <w:p w14:paraId="6412E45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43CEBDA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B0630" w:rsidRPr="00CF04FB" w14:paraId="05967861" w14:textId="77777777" w:rsidTr="000D6AEE">
        <w:tc>
          <w:tcPr>
            <w:tcW w:w="2335" w:type="dxa"/>
          </w:tcPr>
          <w:p w14:paraId="0974144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14:paraId="453BE1A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1440" w:type="dxa"/>
          </w:tcPr>
          <w:p w14:paraId="254CC46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160" w:type="dxa"/>
          </w:tcPr>
          <w:p w14:paraId="0D1732C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4E03DF3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B0630" w:rsidRPr="00CF04FB" w14:paraId="71C35645" w14:textId="77777777" w:rsidTr="000D6AEE">
        <w:tc>
          <w:tcPr>
            <w:tcW w:w="2335" w:type="dxa"/>
          </w:tcPr>
          <w:p w14:paraId="7894D45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00A2E2C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1440" w:type="dxa"/>
          </w:tcPr>
          <w:p w14:paraId="03E39A2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2160" w:type="dxa"/>
          </w:tcPr>
          <w:p w14:paraId="4D9EAA0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5AEDD9A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B0630" w:rsidRPr="00CF04FB" w14:paraId="25DA8533" w14:textId="77777777" w:rsidTr="000D6AEE">
        <w:tc>
          <w:tcPr>
            <w:tcW w:w="2335" w:type="dxa"/>
          </w:tcPr>
          <w:p w14:paraId="6DD1924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</w:tcPr>
          <w:p w14:paraId="1BE54EF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440" w:type="dxa"/>
          </w:tcPr>
          <w:p w14:paraId="4714055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160" w:type="dxa"/>
          </w:tcPr>
          <w:p w14:paraId="661ECF9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470F025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B0630" w:rsidRPr="00CF04FB" w14:paraId="63EFA61D" w14:textId="77777777" w:rsidTr="000D6AEE">
        <w:tc>
          <w:tcPr>
            <w:tcW w:w="2335" w:type="dxa"/>
          </w:tcPr>
          <w:p w14:paraId="4B34C01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14:paraId="41B9B5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40" w:type="dxa"/>
          </w:tcPr>
          <w:p w14:paraId="0C6961F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160" w:type="dxa"/>
          </w:tcPr>
          <w:p w14:paraId="41E0CF1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6874CD2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B0630" w:rsidRPr="00CF04FB" w14:paraId="1F571937" w14:textId="77777777" w:rsidTr="000D6AEE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7BC488EA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65C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DF5FC9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49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7A52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1465D7E1" w14:textId="77777777" w:rsidTr="000D6AEE">
        <w:tc>
          <w:tcPr>
            <w:tcW w:w="2335" w:type="dxa"/>
            <w:shd w:val="clear" w:color="auto" w:fill="F2F2F2" w:themeFill="background1" w:themeFillShade="F2"/>
          </w:tcPr>
          <w:p w14:paraId="6B6F233A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A75684" w14:textId="3A20E411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AED5E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0D17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188B1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5AA747FA" w14:textId="77777777" w:rsidTr="000D6AEE">
        <w:tc>
          <w:tcPr>
            <w:tcW w:w="2335" w:type="dxa"/>
          </w:tcPr>
          <w:p w14:paraId="2217839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7B2022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14.85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ACC0EE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163DBB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1506E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6E20CBCA" w14:textId="77777777" w:rsidTr="000D6AEE">
        <w:tc>
          <w:tcPr>
            <w:tcW w:w="2335" w:type="dxa"/>
          </w:tcPr>
          <w:p w14:paraId="5E812E9D" w14:textId="134EFBB3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1CE6335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64CAFE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70511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1BB0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148529BB" w14:textId="77777777" w:rsidTr="000D6AEE">
        <w:tc>
          <w:tcPr>
            <w:tcW w:w="2335" w:type="dxa"/>
          </w:tcPr>
          <w:p w14:paraId="7B36F2D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060E7EF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33.15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299C6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14.90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860F62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F0F2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9EA740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0883248F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br w:type="page"/>
      </w:r>
    </w:p>
    <w:p w14:paraId="2A1E416A" w14:textId="68FB0EA1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: </w:t>
      </w:r>
      <w:r w:rsidRPr="00CF04FB">
        <w:rPr>
          <w:rFonts w:ascii="Times New Roman" w:hAnsi="Times New Roman" w:cs="Times New Roman"/>
        </w:rPr>
        <w:t>BCE-01541C</w:t>
      </w:r>
    </w:p>
    <w:p w14:paraId="65C05393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247C8FCF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1E5326F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70A8F2B" w14:textId="7D34F01A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B2362B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78F480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ECAC88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67F70D1C" w14:textId="77777777" w:rsidTr="00C570F5">
        <w:tc>
          <w:tcPr>
            <w:tcW w:w="2335" w:type="dxa"/>
          </w:tcPr>
          <w:p w14:paraId="59A5AFB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4453168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440" w:type="dxa"/>
          </w:tcPr>
          <w:p w14:paraId="429466C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5238A8E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62B57FD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4876517D" w14:textId="77777777" w:rsidTr="00C570F5">
        <w:tc>
          <w:tcPr>
            <w:tcW w:w="2335" w:type="dxa"/>
          </w:tcPr>
          <w:p w14:paraId="0BBEE47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</w:tcPr>
          <w:p w14:paraId="35501F7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1440" w:type="dxa"/>
          </w:tcPr>
          <w:p w14:paraId="5DD32D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2160" w:type="dxa"/>
          </w:tcPr>
          <w:p w14:paraId="097E01D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4218B22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B0630" w:rsidRPr="00CF04FB" w14:paraId="77F4BF09" w14:textId="77777777" w:rsidTr="00C570F5">
        <w:tc>
          <w:tcPr>
            <w:tcW w:w="2335" w:type="dxa"/>
          </w:tcPr>
          <w:p w14:paraId="7E20F66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14:paraId="5199F75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21.72</w:t>
            </w:r>
          </w:p>
        </w:tc>
        <w:tc>
          <w:tcPr>
            <w:tcW w:w="1440" w:type="dxa"/>
          </w:tcPr>
          <w:p w14:paraId="1AB3366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2160" w:type="dxa"/>
          </w:tcPr>
          <w:p w14:paraId="683AC6D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31E9F8A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B0630" w:rsidRPr="00CF04FB" w14:paraId="105F742B" w14:textId="77777777" w:rsidTr="00C570F5">
        <w:tc>
          <w:tcPr>
            <w:tcW w:w="2335" w:type="dxa"/>
          </w:tcPr>
          <w:p w14:paraId="0351A81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6EAA62E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25.95</w:t>
            </w:r>
          </w:p>
        </w:tc>
        <w:tc>
          <w:tcPr>
            <w:tcW w:w="1440" w:type="dxa"/>
          </w:tcPr>
          <w:p w14:paraId="19A03A7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160" w:type="dxa"/>
          </w:tcPr>
          <w:p w14:paraId="32F0BBC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5860B07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9B0630" w:rsidRPr="00CF04FB" w14:paraId="7D2FE847" w14:textId="77777777" w:rsidTr="00C570F5">
        <w:tc>
          <w:tcPr>
            <w:tcW w:w="2335" w:type="dxa"/>
          </w:tcPr>
          <w:p w14:paraId="38F8576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</w:tcPr>
          <w:p w14:paraId="2A3E1D0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58.97</w:t>
            </w:r>
          </w:p>
        </w:tc>
        <w:tc>
          <w:tcPr>
            <w:tcW w:w="1440" w:type="dxa"/>
          </w:tcPr>
          <w:p w14:paraId="2BED679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2160" w:type="dxa"/>
          </w:tcPr>
          <w:p w14:paraId="4DAD07D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0211BA9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B0630" w:rsidRPr="00CF04FB" w14:paraId="306D3837" w14:textId="77777777" w:rsidTr="00C570F5">
        <w:tc>
          <w:tcPr>
            <w:tcW w:w="2335" w:type="dxa"/>
          </w:tcPr>
          <w:p w14:paraId="31EED93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14:paraId="330EFED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73.57</w:t>
            </w:r>
          </w:p>
        </w:tc>
        <w:tc>
          <w:tcPr>
            <w:tcW w:w="1440" w:type="dxa"/>
          </w:tcPr>
          <w:p w14:paraId="6153A0B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160" w:type="dxa"/>
          </w:tcPr>
          <w:p w14:paraId="6048D30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64D3E7B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630" w:rsidRPr="00CF04FB" w14:paraId="535653C0" w14:textId="77777777" w:rsidTr="00C570F5">
        <w:tc>
          <w:tcPr>
            <w:tcW w:w="2335" w:type="dxa"/>
          </w:tcPr>
          <w:p w14:paraId="69125C9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5DE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123.28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DA14D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2160" w:type="dxa"/>
          </w:tcPr>
          <w:p w14:paraId="7D5EF69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26ECC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B0630" w:rsidRPr="00CF04FB" w14:paraId="6F7CA98D" w14:textId="77777777" w:rsidTr="00C570F5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31D7D534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E74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289D1C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2C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83DE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5C91779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1C817B30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5FA8BF" w14:textId="21A7CAA3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D965B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06F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7078A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3C1A3BD5" w14:textId="77777777" w:rsidTr="00C570F5">
        <w:tc>
          <w:tcPr>
            <w:tcW w:w="2335" w:type="dxa"/>
          </w:tcPr>
          <w:p w14:paraId="0E96245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30FE18D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14.85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F0AEEA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171752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70FE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3813ED0" w14:textId="77777777" w:rsidTr="00C570F5">
        <w:tc>
          <w:tcPr>
            <w:tcW w:w="2335" w:type="dxa"/>
          </w:tcPr>
          <w:p w14:paraId="557625D5" w14:textId="2AB240DB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309632D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D2979D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B33D9C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5F19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69BF7589" w14:textId="77777777" w:rsidTr="00C570F5">
        <w:tc>
          <w:tcPr>
            <w:tcW w:w="2335" w:type="dxa"/>
          </w:tcPr>
          <w:p w14:paraId="0053841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1EFE0CC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33.15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33C827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14.90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365C72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503CC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0CED19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17F0BA3E" w14:textId="77777777" w:rsidR="009B0630" w:rsidRDefault="009B0630" w:rsidP="009B0630">
      <w:pPr>
        <w:rPr>
          <w:rFonts w:ascii="Times New Roman" w:hAnsi="Times New Roman" w:cs="Times New Roman"/>
          <w:i/>
        </w:rPr>
      </w:pPr>
    </w:p>
    <w:p w14:paraId="09258E34" w14:textId="6E42C547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: Table </w:t>
      </w:r>
      <w:proofErr w:type="spellStart"/>
      <w:r w:rsidRPr="00CF04FB">
        <w:rPr>
          <w:rFonts w:ascii="Times New Roman" w:hAnsi="Times New Roman" w:cs="Times New Roman"/>
          <w:i/>
        </w:rPr>
        <w:t>Actaea</w:t>
      </w:r>
      <w:proofErr w:type="spellEnd"/>
      <w:r w:rsidRPr="00CF04FB">
        <w:rPr>
          <w:rFonts w:ascii="Times New Roman" w:hAnsi="Times New Roman" w:cs="Times New Roman"/>
          <w:i/>
        </w:rPr>
        <w:t xml:space="preserve"> </w:t>
      </w:r>
      <w:proofErr w:type="spellStart"/>
      <w:r w:rsidRPr="00CF04FB">
        <w:rPr>
          <w:rFonts w:ascii="Times New Roman" w:hAnsi="Times New Roman" w:cs="Times New Roman"/>
          <w:i/>
        </w:rPr>
        <w:t>dahurica</w:t>
      </w:r>
      <w:proofErr w:type="spellEnd"/>
      <w:r w:rsidRPr="00CF04FB">
        <w:rPr>
          <w:rFonts w:ascii="Times New Roman" w:hAnsi="Times New Roman" w:cs="Times New Roman"/>
        </w:rPr>
        <w:t xml:space="preserve"> (Chinese cohosh) root powder, vouchered botanical reference material, product # ASB-00030669-134</w:t>
      </w:r>
    </w:p>
    <w:p w14:paraId="00CD24C8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2098B647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5908AF7F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D4186BC" w14:textId="5A14830B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5DAB94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303CB7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3A15DC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547E6AEC" w14:textId="77777777" w:rsidTr="00C570F5">
        <w:tc>
          <w:tcPr>
            <w:tcW w:w="2335" w:type="dxa"/>
          </w:tcPr>
          <w:p w14:paraId="1D9597B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0EEAEE4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440" w:type="dxa"/>
          </w:tcPr>
          <w:p w14:paraId="65C2D6C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160" w:type="dxa"/>
          </w:tcPr>
          <w:p w14:paraId="7EB58B3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5AACCC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67A4736B" w14:textId="77777777" w:rsidTr="00C570F5">
        <w:tc>
          <w:tcPr>
            <w:tcW w:w="2335" w:type="dxa"/>
          </w:tcPr>
          <w:p w14:paraId="10D8B2E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6454399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440" w:type="dxa"/>
          </w:tcPr>
          <w:p w14:paraId="0E31F80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2E04D16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09E314D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9B0630" w:rsidRPr="00CF04FB" w14:paraId="4A28D95C" w14:textId="77777777" w:rsidTr="00C570F5">
        <w:tc>
          <w:tcPr>
            <w:tcW w:w="2335" w:type="dxa"/>
          </w:tcPr>
          <w:p w14:paraId="2AECC9D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5908A54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440" w:type="dxa"/>
          </w:tcPr>
          <w:p w14:paraId="3BBA9DD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0147232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211BFF9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B0630" w:rsidRPr="00CF04FB" w14:paraId="0385B439" w14:textId="77777777" w:rsidTr="00C570F5">
        <w:tc>
          <w:tcPr>
            <w:tcW w:w="2335" w:type="dxa"/>
          </w:tcPr>
          <w:p w14:paraId="1C2788C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33B7477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440" w:type="dxa"/>
          </w:tcPr>
          <w:p w14:paraId="193D357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160" w:type="dxa"/>
          </w:tcPr>
          <w:p w14:paraId="5C37CCA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3B3CB2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630" w:rsidRPr="00CF04FB" w14:paraId="016BFBFE" w14:textId="77777777" w:rsidTr="00C570F5">
        <w:tc>
          <w:tcPr>
            <w:tcW w:w="2335" w:type="dxa"/>
          </w:tcPr>
          <w:p w14:paraId="3B5F976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5D3FC95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440" w:type="dxa"/>
          </w:tcPr>
          <w:p w14:paraId="731D068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160" w:type="dxa"/>
          </w:tcPr>
          <w:p w14:paraId="3B90015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1E8F7AF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B0630" w:rsidRPr="00CF04FB" w14:paraId="2F80BAA6" w14:textId="77777777" w:rsidTr="00C570F5">
        <w:tc>
          <w:tcPr>
            <w:tcW w:w="2335" w:type="dxa"/>
          </w:tcPr>
          <w:p w14:paraId="26AEF89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2183B75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440" w:type="dxa"/>
          </w:tcPr>
          <w:p w14:paraId="551D349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160" w:type="dxa"/>
          </w:tcPr>
          <w:p w14:paraId="5C77A55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750DDA6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B0630" w:rsidRPr="00CF04FB" w14:paraId="5BC7F744" w14:textId="77777777" w:rsidTr="00C570F5">
        <w:tc>
          <w:tcPr>
            <w:tcW w:w="2335" w:type="dxa"/>
          </w:tcPr>
          <w:p w14:paraId="7885374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A7DD11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D8A95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160" w:type="dxa"/>
          </w:tcPr>
          <w:p w14:paraId="3DE487F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3407B5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B0630" w:rsidRPr="00CF04FB" w14:paraId="44A3BBC8" w14:textId="77777777" w:rsidTr="00C570F5">
        <w:tc>
          <w:tcPr>
            <w:tcW w:w="2335" w:type="dxa"/>
          </w:tcPr>
          <w:p w14:paraId="2165DCE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D925D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8CCC3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160" w:type="dxa"/>
          </w:tcPr>
          <w:p w14:paraId="18826B0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E502B8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B0630" w:rsidRPr="00CF04FB" w14:paraId="71C3D950" w14:textId="77777777" w:rsidTr="00C570F5">
        <w:tc>
          <w:tcPr>
            <w:tcW w:w="2335" w:type="dxa"/>
          </w:tcPr>
          <w:p w14:paraId="5867AF4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BC763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10B92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160" w:type="dxa"/>
          </w:tcPr>
          <w:p w14:paraId="6D9C19C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96F1B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B0630" w:rsidRPr="00CF04FB" w14:paraId="5F58B9A9" w14:textId="77777777" w:rsidTr="00C570F5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0174B81E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9A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8D3C2B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FF7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DB04E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317F56A4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69D75FC2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818DBE" w14:textId="16E7BC3C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27539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EB01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75E281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12375D25" w14:textId="77777777" w:rsidTr="00C570F5">
        <w:tc>
          <w:tcPr>
            <w:tcW w:w="2335" w:type="dxa"/>
          </w:tcPr>
          <w:p w14:paraId="7D2B9B0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0CE675D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0448CE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0DE702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17A22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74AC14DE" w14:textId="77777777" w:rsidTr="00C570F5">
        <w:tc>
          <w:tcPr>
            <w:tcW w:w="2335" w:type="dxa"/>
          </w:tcPr>
          <w:p w14:paraId="70FD1268" w14:textId="282B72B5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37B801F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92F2C3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1C0975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9EDF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61181ED" w14:textId="77777777" w:rsidTr="00C570F5">
        <w:tc>
          <w:tcPr>
            <w:tcW w:w="2335" w:type="dxa"/>
          </w:tcPr>
          <w:p w14:paraId="08A9828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6A026FC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12.69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88131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15150B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263F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2255B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1550001C" w14:textId="77777777" w:rsidR="009B0630" w:rsidRPr="00CF04FB" w:rsidRDefault="009B0630" w:rsidP="009B0630">
      <w:pPr>
        <w:rPr>
          <w:rFonts w:ascii="Times New Roman" w:hAnsi="Times New Roman" w:cs="Times New Roman"/>
          <w:i/>
        </w:rPr>
      </w:pPr>
      <w:r w:rsidRPr="00CF04FB">
        <w:rPr>
          <w:rFonts w:ascii="Times New Roman" w:hAnsi="Times New Roman" w:cs="Times New Roman"/>
          <w:i/>
        </w:rPr>
        <w:br w:type="page"/>
      </w:r>
    </w:p>
    <w:p w14:paraId="3920E2CD" w14:textId="52C8E44A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D60A8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CF04FB">
        <w:rPr>
          <w:rFonts w:ascii="Times New Roman" w:hAnsi="Times New Roman" w:cs="Times New Roman"/>
          <w:i/>
        </w:rPr>
        <w:t>Actaea</w:t>
      </w:r>
      <w:proofErr w:type="spellEnd"/>
      <w:r w:rsidRPr="00CF04FB">
        <w:rPr>
          <w:rFonts w:ascii="Times New Roman" w:hAnsi="Times New Roman" w:cs="Times New Roman"/>
          <w:i/>
        </w:rPr>
        <w:t xml:space="preserve"> </w:t>
      </w:r>
      <w:proofErr w:type="spellStart"/>
      <w:r w:rsidRPr="00CF04FB">
        <w:rPr>
          <w:rFonts w:ascii="Times New Roman" w:hAnsi="Times New Roman" w:cs="Times New Roman"/>
          <w:i/>
        </w:rPr>
        <w:t>rubra</w:t>
      </w:r>
      <w:proofErr w:type="spellEnd"/>
      <w:r w:rsidRPr="00CF04FB">
        <w:rPr>
          <w:rFonts w:ascii="Times New Roman" w:hAnsi="Times New Roman" w:cs="Times New Roman"/>
        </w:rPr>
        <w:t xml:space="preserve"> (red cohosh) root powder, vouchered botanical reference material, product # ASB-00030836-202</w:t>
      </w:r>
    </w:p>
    <w:p w14:paraId="3DA9A7E4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752D92F1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309AB25E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9B98023" w14:textId="268FBE4C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C759D3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71C893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CC9CF96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35E0CF0F" w14:textId="77777777" w:rsidTr="00C570F5">
        <w:tc>
          <w:tcPr>
            <w:tcW w:w="2335" w:type="dxa"/>
          </w:tcPr>
          <w:p w14:paraId="706B258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598AACB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40" w:type="dxa"/>
          </w:tcPr>
          <w:p w14:paraId="3811B7A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1ABEAE0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027E74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73B8F335" w14:textId="77777777" w:rsidTr="00C570F5">
        <w:tc>
          <w:tcPr>
            <w:tcW w:w="2335" w:type="dxa"/>
          </w:tcPr>
          <w:p w14:paraId="0C744FBD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</w:tcPr>
          <w:p w14:paraId="6523BE9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440" w:type="dxa"/>
          </w:tcPr>
          <w:p w14:paraId="27541BF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160" w:type="dxa"/>
          </w:tcPr>
          <w:p w14:paraId="60C0F25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651F10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0630" w:rsidRPr="00CF04FB" w14:paraId="6713AC02" w14:textId="77777777" w:rsidTr="00C570F5">
        <w:tc>
          <w:tcPr>
            <w:tcW w:w="2335" w:type="dxa"/>
          </w:tcPr>
          <w:p w14:paraId="1957229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14:paraId="3ED6580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440" w:type="dxa"/>
          </w:tcPr>
          <w:p w14:paraId="3FFB598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160" w:type="dxa"/>
          </w:tcPr>
          <w:p w14:paraId="28A6AC9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1D3721A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B0630" w:rsidRPr="00CF04FB" w14:paraId="4BDF43D4" w14:textId="77777777" w:rsidTr="00C570F5">
        <w:tc>
          <w:tcPr>
            <w:tcW w:w="2335" w:type="dxa"/>
          </w:tcPr>
          <w:p w14:paraId="78BAB179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2D376C9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440" w:type="dxa"/>
          </w:tcPr>
          <w:p w14:paraId="424E8E0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160" w:type="dxa"/>
          </w:tcPr>
          <w:p w14:paraId="5AABE8A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1009326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B0630" w:rsidRPr="00CF04FB" w14:paraId="338C31D0" w14:textId="77777777" w:rsidTr="00C570F5">
        <w:tc>
          <w:tcPr>
            <w:tcW w:w="2335" w:type="dxa"/>
          </w:tcPr>
          <w:p w14:paraId="4F39EE8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</w:tcPr>
          <w:p w14:paraId="7C7FF0E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440" w:type="dxa"/>
          </w:tcPr>
          <w:p w14:paraId="5349BB8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2160" w:type="dxa"/>
          </w:tcPr>
          <w:p w14:paraId="4EAC6D1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47E1913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B0630" w:rsidRPr="00CF04FB" w14:paraId="608E31B5" w14:textId="77777777" w:rsidTr="00C570F5">
        <w:tc>
          <w:tcPr>
            <w:tcW w:w="2335" w:type="dxa"/>
          </w:tcPr>
          <w:p w14:paraId="245FBBB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14:paraId="07B0924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1440" w:type="dxa"/>
          </w:tcPr>
          <w:p w14:paraId="1BE875E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60" w:type="dxa"/>
          </w:tcPr>
          <w:p w14:paraId="3FFEE2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</w:tcPr>
          <w:p w14:paraId="30379CF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B0630" w:rsidRPr="00CF04FB" w14:paraId="4C2D51FA" w14:textId="77777777" w:rsidTr="00C570F5">
        <w:tc>
          <w:tcPr>
            <w:tcW w:w="2335" w:type="dxa"/>
          </w:tcPr>
          <w:p w14:paraId="4A15D58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AC8D2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22.34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B0027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2160" w:type="dxa"/>
          </w:tcPr>
          <w:p w14:paraId="2B5B34E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50A034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B0630" w:rsidRPr="00CF04FB" w14:paraId="5560EED0" w14:textId="77777777" w:rsidTr="00C570F5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01AEB5B9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1BC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FC6328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D96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56FDA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49FABF4A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02B67BB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B46F93" w14:textId="59B7DFAF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29234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C746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B54A3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54D8645D" w14:textId="77777777" w:rsidTr="00C570F5">
        <w:tc>
          <w:tcPr>
            <w:tcW w:w="2335" w:type="dxa"/>
          </w:tcPr>
          <w:p w14:paraId="33895E1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37EA600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572F30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5E2A23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530A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A616DE0" w14:textId="77777777" w:rsidTr="00C570F5">
        <w:tc>
          <w:tcPr>
            <w:tcW w:w="2335" w:type="dxa"/>
          </w:tcPr>
          <w:p w14:paraId="0C8F1AA1" w14:textId="3BEF39E4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68FD59F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A7163D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B11479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378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64F0CC99" w14:textId="77777777" w:rsidTr="00C570F5">
        <w:tc>
          <w:tcPr>
            <w:tcW w:w="2335" w:type="dxa"/>
          </w:tcPr>
          <w:p w14:paraId="56C0E6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4164B65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FB451E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3B779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17F4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E5E513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0291B511" w14:textId="77777777" w:rsidR="009B0630" w:rsidRDefault="009B0630" w:rsidP="009B0630">
      <w:pPr>
        <w:rPr>
          <w:rFonts w:ascii="Times New Roman" w:hAnsi="Times New Roman" w:cs="Times New Roman"/>
          <w:i/>
        </w:rPr>
      </w:pPr>
    </w:p>
    <w:p w14:paraId="2ADBF244" w14:textId="2D243E1B" w:rsidR="009B0630" w:rsidRPr="00CF04FB" w:rsidRDefault="009B0630" w:rsidP="009B0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60A8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CF04FB">
        <w:rPr>
          <w:rFonts w:ascii="Times New Roman" w:hAnsi="Times New Roman" w:cs="Times New Roman"/>
          <w:i/>
        </w:rPr>
        <w:t>Actaea</w:t>
      </w:r>
      <w:proofErr w:type="spellEnd"/>
      <w:r w:rsidRPr="00CF04FB">
        <w:rPr>
          <w:rFonts w:ascii="Times New Roman" w:hAnsi="Times New Roman" w:cs="Times New Roman"/>
          <w:i/>
        </w:rPr>
        <w:t xml:space="preserve"> </w:t>
      </w:r>
      <w:proofErr w:type="spellStart"/>
      <w:r w:rsidRPr="00CF04FB">
        <w:rPr>
          <w:rFonts w:ascii="Times New Roman" w:hAnsi="Times New Roman" w:cs="Times New Roman"/>
          <w:i/>
        </w:rPr>
        <w:t>podocarpa</w:t>
      </w:r>
      <w:proofErr w:type="spellEnd"/>
      <w:r w:rsidRPr="00CF04FB">
        <w:rPr>
          <w:rFonts w:ascii="Times New Roman" w:hAnsi="Times New Roman" w:cs="Times New Roman"/>
        </w:rPr>
        <w:t xml:space="preserve"> (yellow cohosh) root powder, vouchered botanical reference mate</w:t>
      </w:r>
      <w:r w:rsidR="00724E22">
        <w:rPr>
          <w:rFonts w:ascii="Times New Roman" w:hAnsi="Times New Roman" w:cs="Times New Roman"/>
        </w:rPr>
        <w:t>rial, product # ASB-00030837-05</w:t>
      </w:r>
    </w:p>
    <w:p w14:paraId="52E9F12C" w14:textId="77777777" w:rsidR="009B0630" w:rsidRPr="00CF04FB" w:rsidRDefault="009B0630" w:rsidP="009B0630">
      <w:pPr>
        <w:rPr>
          <w:rFonts w:ascii="Times New Roman" w:hAnsi="Times New Roman" w:cs="Times New Roman"/>
        </w:rPr>
      </w:pPr>
      <w:r w:rsidRPr="00CF04FB">
        <w:rPr>
          <w:rFonts w:ascii="Times New Roman" w:hAnsi="Times New Roman" w:cs="Times New Roman"/>
        </w:rPr>
        <w:t>120 nM folic acid, 24 h exposure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2160"/>
        <w:gridCol w:w="2160"/>
      </w:tblGrid>
      <w:tr w:rsidR="009B0630" w:rsidRPr="00CF04FB" w14:paraId="4D25E91C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73D606FD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Cohosh sample (µg/ml)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4D7083A" w14:textId="004226E0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8637DB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BDA13C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Pairwise P value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353B0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</w:tr>
      <w:tr w:rsidR="009B0630" w:rsidRPr="00CF04FB" w14:paraId="11BA5FA1" w14:textId="77777777" w:rsidTr="00C570F5">
        <w:tc>
          <w:tcPr>
            <w:tcW w:w="2335" w:type="dxa"/>
          </w:tcPr>
          <w:p w14:paraId="426CBD26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1350" w:type="dxa"/>
          </w:tcPr>
          <w:p w14:paraId="60A13CC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40" w:type="dxa"/>
          </w:tcPr>
          <w:p w14:paraId="24A6C185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160" w:type="dxa"/>
          </w:tcPr>
          <w:p w14:paraId="2C5AC98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1F150ED" w14:textId="77777777" w:rsidR="009B0630" w:rsidRPr="00CF04FB" w:rsidRDefault="009B0630" w:rsidP="00C570F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630" w:rsidRPr="00CF04FB" w14:paraId="698F672E" w14:textId="77777777" w:rsidTr="00C570F5">
        <w:tc>
          <w:tcPr>
            <w:tcW w:w="2335" w:type="dxa"/>
          </w:tcPr>
          <w:p w14:paraId="35F35A90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</w:tcPr>
          <w:p w14:paraId="53E60D3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440" w:type="dxa"/>
          </w:tcPr>
          <w:p w14:paraId="3B950A8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160" w:type="dxa"/>
          </w:tcPr>
          <w:p w14:paraId="5FC2F02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5484111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B0630" w:rsidRPr="00CF04FB" w14:paraId="5F3AF32B" w14:textId="77777777" w:rsidTr="00C570F5">
        <w:tc>
          <w:tcPr>
            <w:tcW w:w="2335" w:type="dxa"/>
          </w:tcPr>
          <w:p w14:paraId="3D763DC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14:paraId="7C2CF4F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440" w:type="dxa"/>
          </w:tcPr>
          <w:p w14:paraId="63BEF40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160" w:type="dxa"/>
          </w:tcPr>
          <w:p w14:paraId="2FA5CA2D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60" w:type="dxa"/>
          </w:tcPr>
          <w:p w14:paraId="0649FB5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B0630" w:rsidRPr="00CF04FB" w14:paraId="636DF577" w14:textId="77777777" w:rsidTr="00C570F5">
        <w:tc>
          <w:tcPr>
            <w:tcW w:w="2335" w:type="dxa"/>
          </w:tcPr>
          <w:p w14:paraId="738FA0E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</w:tcPr>
          <w:p w14:paraId="681D519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1440" w:type="dxa"/>
          </w:tcPr>
          <w:p w14:paraId="47CF7E7F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2160" w:type="dxa"/>
          </w:tcPr>
          <w:p w14:paraId="7E349EE8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43C12324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B0630" w:rsidRPr="00CF04FB" w14:paraId="5DF97B44" w14:textId="77777777" w:rsidTr="00C570F5">
        <w:tc>
          <w:tcPr>
            <w:tcW w:w="2335" w:type="dxa"/>
          </w:tcPr>
          <w:p w14:paraId="0C6ECAD3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</w:tcPr>
          <w:p w14:paraId="1167A60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33.87</w:t>
            </w:r>
          </w:p>
        </w:tc>
        <w:tc>
          <w:tcPr>
            <w:tcW w:w="1440" w:type="dxa"/>
          </w:tcPr>
          <w:p w14:paraId="5059BFF9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18.42</w:t>
            </w:r>
          </w:p>
        </w:tc>
        <w:tc>
          <w:tcPr>
            <w:tcW w:w="2160" w:type="dxa"/>
          </w:tcPr>
          <w:p w14:paraId="1E26945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160" w:type="dxa"/>
          </w:tcPr>
          <w:p w14:paraId="4915A22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B0630" w:rsidRPr="00CF04FB" w14:paraId="310A3939" w14:textId="77777777" w:rsidTr="00C570F5">
        <w:tc>
          <w:tcPr>
            <w:tcW w:w="2335" w:type="dxa"/>
            <w:tcBorders>
              <w:right w:val="nil"/>
            </w:tcBorders>
            <w:shd w:val="clear" w:color="auto" w:fill="auto"/>
          </w:tcPr>
          <w:p w14:paraId="46FAD12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526F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052593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Trend P value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2330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5B76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7BA72433" w14:textId="77777777" w:rsidTr="00C570F5">
        <w:tc>
          <w:tcPr>
            <w:tcW w:w="2335" w:type="dxa"/>
            <w:shd w:val="clear" w:color="auto" w:fill="F2F2F2" w:themeFill="background1" w:themeFillShade="F2"/>
          </w:tcPr>
          <w:p w14:paraId="7041FFC5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Controls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FE0E05" w14:textId="5E92D860" w:rsidR="009B0630" w:rsidRPr="00CF04FB" w:rsidRDefault="000D6AEE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%MN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6CAD8E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B1553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b/>
                <w:sz w:val="20"/>
                <w:szCs w:val="20"/>
              </w:rPr>
              <w:t>Relative Survival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DEAD7" w14:textId="77777777" w:rsidR="009B0630" w:rsidRPr="00CF04FB" w:rsidRDefault="009B0630" w:rsidP="00C5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30" w:rsidRPr="00CF04FB" w14:paraId="0F4A53C5" w14:textId="77777777" w:rsidTr="00C570F5">
        <w:tc>
          <w:tcPr>
            <w:tcW w:w="2335" w:type="dxa"/>
          </w:tcPr>
          <w:p w14:paraId="5624C085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BCE 3012782, 125 µg/ml</w:t>
            </w:r>
          </w:p>
        </w:tc>
        <w:tc>
          <w:tcPr>
            <w:tcW w:w="1350" w:type="dxa"/>
          </w:tcPr>
          <w:p w14:paraId="5AFAA23B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C2E8B3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9EEE3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62AF1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0C1A9BE2" w14:textId="77777777" w:rsidTr="00C570F5">
        <w:tc>
          <w:tcPr>
            <w:tcW w:w="2335" w:type="dxa"/>
          </w:tcPr>
          <w:p w14:paraId="317C6118" w14:textId="7962B96A" w:rsidR="009B0630" w:rsidRPr="00CF04FB" w:rsidRDefault="00D60A89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control</w:t>
            </w: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 for MMC</w:t>
            </w:r>
          </w:p>
        </w:tc>
        <w:tc>
          <w:tcPr>
            <w:tcW w:w="1350" w:type="dxa"/>
          </w:tcPr>
          <w:p w14:paraId="0BA595D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A72DEF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3E116A7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EBD7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30" w:rsidRPr="00CF04FB" w14:paraId="5FF168C9" w14:textId="77777777" w:rsidTr="00C570F5">
        <w:tc>
          <w:tcPr>
            <w:tcW w:w="2335" w:type="dxa"/>
          </w:tcPr>
          <w:p w14:paraId="73DADB7B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 xml:space="preserve">MMC,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350" w:type="dxa"/>
          </w:tcPr>
          <w:p w14:paraId="2E22E83C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C3404AA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2A3B072" w14:textId="77777777" w:rsidR="009B0630" w:rsidRPr="00CF04FB" w:rsidRDefault="009B0630" w:rsidP="00C5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F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4D238" w14:textId="77777777" w:rsidR="009B0630" w:rsidRPr="00CF04FB" w:rsidRDefault="009B0630" w:rsidP="00C5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4DDAEF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04D4DC98" w14:textId="77777777" w:rsidR="009B0630" w:rsidRPr="00CF04FB" w:rsidRDefault="009B0630" w:rsidP="009B0630">
      <w:pPr>
        <w:rPr>
          <w:rFonts w:ascii="Times New Roman" w:hAnsi="Times New Roman" w:cs="Times New Roman"/>
        </w:rPr>
      </w:pPr>
    </w:p>
    <w:p w14:paraId="51807965" w14:textId="77777777" w:rsidR="009B0630" w:rsidRPr="00671D7B" w:rsidRDefault="009B0630" w:rsidP="00B726E4">
      <w:pPr>
        <w:rPr>
          <w:rFonts w:ascii="Times New Roman" w:hAnsi="Times New Roman" w:cs="Times New Roman"/>
          <w:sz w:val="20"/>
          <w:szCs w:val="20"/>
        </w:rPr>
      </w:pPr>
    </w:p>
    <w:sectPr w:rsidR="009B0630" w:rsidRPr="00671D7B" w:rsidSect="009F6D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BF92" w14:textId="77777777" w:rsidR="00C570F5" w:rsidRDefault="00C570F5" w:rsidP="000902C8">
      <w:pPr>
        <w:spacing w:after="0" w:line="240" w:lineRule="auto"/>
      </w:pPr>
      <w:r>
        <w:separator/>
      </w:r>
    </w:p>
  </w:endnote>
  <w:endnote w:type="continuationSeparator" w:id="0">
    <w:p w14:paraId="32D5A79F" w14:textId="77777777" w:rsidR="00C570F5" w:rsidRDefault="00C570F5" w:rsidP="0009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57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9035D" w14:textId="64A9256F" w:rsidR="00C570F5" w:rsidRDefault="00C57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1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F0476B" w14:textId="77777777" w:rsidR="00C570F5" w:rsidRDefault="00C57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CC83" w14:textId="77777777" w:rsidR="00C570F5" w:rsidRDefault="00C570F5" w:rsidP="000902C8">
      <w:pPr>
        <w:spacing w:after="0" w:line="240" w:lineRule="auto"/>
      </w:pPr>
      <w:r>
        <w:separator/>
      </w:r>
    </w:p>
  </w:footnote>
  <w:footnote w:type="continuationSeparator" w:id="0">
    <w:p w14:paraId="3A2014FA" w14:textId="77777777" w:rsidR="00C570F5" w:rsidRDefault="00C570F5" w:rsidP="0009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50B"/>
    <w:multiLevelType w:val="hybridMultilevel"/>
    <w:tmpl w:val="AD7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C2C"/>
    <w:multiLevelType w:val="multilevel"/>
    <w:tmpl w:val="497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01"/>
    <w:rsid w:val="00002EA9"/>
    <w:rsid w:val="00003267"/>
    <w:rsid w:val="00004704"/>
    <w:rsid w:val="00005427"/>
    <w:rsid w:val="00005BED"/>
    <w:rsid w:val="00012924"/>
    <w:rsid w:val="0001465C"/>
    <w:rsid w:val="00020C76"/>
    <w:rsid w:val="00023F78"/>
    <w:rsid w:val="000240B2"/>
    <w:rsid w:val="000242E8"/>
    <w:rsid w:val="00027A41"/>
    <w:rsid w:val="00027EF5"/>
    <w:rsid w:val="000326E9"/>
    <w:rsid w:val="0003353D"/>
    <w:rsid w:val="00033E68"/>
    <w:rsid w:val="00034315"/>
    <w:rsid w:val="0003660B"/>
    <w:rsid w:val="00037516"/>
    <w:rsid w:val="00040344"/>
    <w:rsid w:val="00040349"/>
    <w:rsid w:val="0004080E"/>
    <w:rsid w:val="00040A1A"/>
    <w:rsid w:val="00040CDB"/>
    <w:rsid w:val="00043A9B"/>
    <w:rsid w:val="00051662"/>
    <w:rsid w:val="000522C1"/>
    <w:rsid w:val="000557E7"/>
    <w:rsid w:val="00057E09"/>
    <w:rsid w:val="00060C64"/>
    <w:rsid w:val="00061818"/>
    <w:rsid w:val="00063171"/>
    <w:rsid w:val="00063DC0"/>
    <w:rsid w:val="0006522C"/>
    <w:rsid w:val="00065300"/>
    <w:rsid w:val="00066C25"/>
    <w:rsid w:val="00067F2C"/>
    <w:rsid w:val="000723FD"/>
    <w:rsid w:val="00073B61"/>
    <w:rsid w:val="000761EB"/>
    <w:rsid w:val="00077009"/>
    <w:rsid w:val="00077699"/>
    <w:rsid w:val="00077E23"/>
    <w:rsid w:val="000805F3"/>
    <w:rsid w:val="00080F57"/>
    <w:rsid w:val="0008286B"/>
    <w:rsid w:val="000828C7"/>
    <w:rsid w:val="00082BFA"/>
    <w:rsid w:val="00082DAE"/>
    <w:rsid w:val="00083CA3"/>
    <w:rsid w:val="00084CFB"/>
    <w:rsid w:val="00085769"/>
    <w:rsid w:val="00085F87"/>
    <w:rsid w:val="00086B96"/>
    <w:rsid w:val="000875CD"/>
    <w:rsid w:val="000902C8"/>
    <w:rsid w:val="00091BA1"/>
    <w:rsid w:val="00091F36"/>
    <w:rsid w:val="000935A8"/>
    <w:rsid w:val="00094A59"/>
    <w:rsid w:val="00097B1A"/>
    <w:rsid w:val="000A0062"/>
    <w:rsid w:val="000A177C"/>
    <w:rsid w:val="000A278F"/>
    <w:rsid w:val="000A464B"/>
    <w:rsid w:val="000A5B3F"/>
    <w:rsid w:val="000B1E22"/>
    <w:rsid w:val="000B1FA1"/>
    <w:rsid w:val="000B249E"/>
    <w:rsid w:val="000B33B6"/>
    <w:rsid w:val="000B7276"/>
    <w:rsid w:val="000B75E7"/>
    <w:rsid w:val="000B789A"/>
    <w:rsid w:val="000C039C"/>
    <w:rsid w:val="000C3A42"/>
    <w:rsid w:val="000C3CE2"/>
    <w:rsid w:val="000C5CC5"/>
    <w:rsid w:val="000C5E0A"/>
    <w:rsid w:val="000C6AEE"/>
    <w:rsid w:val="000C6F47"/>
    <w:rsid w:val="000C7E46"/>
    <w:rsid w:val="000D0506"/>
    <w:rsid w:val="000D0FEE"/>
    <w:rsid w:val="000D1665"/>
    <w:rsid w:val="000D2179"/>
    <w:rsid w:val="000D3CEE"/>
    <w:rsid w:val="000D663B"/>
    <w:rsid w:val="000D6AEE"/>
    <w:rsid w:val="000D6F2A"/>
    <w:rsid w:val="000E214B"/>
    <w:rsid w:val="000E23D0"/>
    <w:rsid w:val="000E352D"/>
    <w:rsid w:val="000E35A6"/>
    <w:rsid w:val="000E7CF0"/>
    <w:rsid w:val="000F0587"/>
    <w:rsid w:val="000F0BDB"/>
    <w:rsid w:val="000F15F9"/>
    <w:rsid w:val="000F1DAE"/>
    <w:rsid w:val="000F4A19"/>
    <w:rsid w:val="001001F9"/>
    <w:rsid w:val="001012C3"/>
    <w:rsid w:val="001028E2"/>
    <w:rsid w:val="00103C7A"/>
    <w:rsid w:val="00107B58"/>
    <w:rsid w:val="00110751"/>
    <w:rsid w:val="00111685"/>
    <w:rsid w:val="00112F1E"/>
    <w:rsid w:val="00116AC7"/>
    <w:rsid w:val="00117195"/>
    <w:rsid w:val="001229D0"/>
    <w:rsid w:val="0012391E"/>
    <w:rsid w:val="00123A0E"/>
    <w:rsid w:val="0012774B"/>
    <w:rsid w:val="00132940"/>
    <w:rsid w:val="00132BE3"/>
    <w:rsid w:val="00132CC9"/>
    <w:rsid w:val="00133BAE"/>
    <w:rsid w:val="0013480B"/>
    <w:rsid w:val="0013488D"/>
    <w:rsid w:val="00135DD6"/>
    <w:rsid w:val="001363C1"/>
    <w:rsid w:val="00136465"/>
    <w:rsid w:val="001365D9"/>
    <w:rsid w:val="001425CD"/>
    <w:rsid w:val="00142B14"/>
    <w:rsid w:val="00142E03"/>
    <w:rsid w:val="00144314"/>
    <w:rsid w:val="00150615"/>
    <w:rsid w:val="0015064D"/>
    <w:rsid w:val="001529B6"/>
    <w:rsid w:val="0015564E"/>
    <w:rsid w:val="00156D99"/>
    <w:rsid w:val="00157BFD"/>
    <w:rsid w:val="001629A8"/>
    <w:rsid w:val="00163300"/>
    <w:rsid w:val="001637C3"/>
    <w:rsid w:val="001642DE"/>
    <w:rsid w:val="00164F39"/>
    <w:rsid w:val="0016526A"/>
    <w:rsid w:val="001670A1"/>
    <w:rsid w:val="00170C4B"/>
    <w:rsid w:val="00171D49"/>
    <w:rsid w:val="00172069"/>
    <w:rsid w:val="001727B4"/>
    <w:rsid w:val="001729A2"/>
    <w:rsid w:val="0017313A"/>
    <w:rsid w:val="00173C26"/>
    <w:rsid w:val="00177FD0"/>
    <w:rsid w:val="00182A3B"/>
    <w:rsid w:val="00183654"/>
    <w:rsid w:val="001838F8"/>
    <w:rsid w:val="00183B8A"/>
    <w:rsid w:val="00186978"/>
    <w:rsid w:val="00186FB3"/>
    <w:rsid w:val="00186FDF"/>
    <w:rsid w:val="001871D4"/>
    <w:rsid w:val="001873D9"/>
    <w:rsid w:val="00187C9F"/>
    <w:rsid w:val="00187D40"/>
    <w:rsid w:val="0019112D"/>
    <w:rsid w:val="00191376"/>
    <w:rsid w:val="00191CFD"/>
    <w:rsid w:val="00192F39"/>
    <w:rsid w:val="00193855"/>
    <w:rsid w:val="00194349"/>
    <w:rsid w:val="001A16C2"/>
    <w:rsid w:val="001A3D45"/>
    <w:rsid w:val="001A4DB6"/>
    <w:rsid w:val="001A5E43"/>
    <w:rsid w:val="001A68C5"/>
    <w:rsid w:val="001B0C1A"/>
    <w:rsid w:val="001B2A61"/>
    <w:rsid w:val="001C09E6"/>
    <w:rsid w:val="001C34E7"/>
    <w:rsid w:val="001C50E8"/>
    <w:rsid w:val="001D2268"/>
    <w:rsid w:val="001D2FF1"/>
    <w:rsid w:val="001D369C"/>
    <w:rsid w:val="001D6496"/>
    <w:rsid w:val="001D7860"/>
    <w:rsid w:val="001D7EBA"/>
    <w:rsid w:val="001E0302"/>
    <w:rsid w:val="001E0EB2"/>
    <w:rsid w:val="001E197A"/>
    <w:rsid w:val="001E1B06"/>
    <w:rsid w:val="001E20B1"/>
    <w:rsid w:val="001E2A9F"/>
    <w:rsid w:val="001E2EE4"/>
    <w:rsid w:val="001E3B63"/>
    <w:rsid w:val="001E3C18"/>
    <w:rsid w:val="001E418D"/>
    <w:rsid w:val="001E5637"/>
    <w:rsid w:val="001E563F"/>
    <w:rsid w:val="001E73E7"/>
    <w:rsid w:val="001E7CA5"/>
    <w:rsid w:val="001E7F0C"/>
    <w:rsid w:val="001F18E1"/>
    <w:rsid w:val="001F2C50"/>
    <w:rsid w:val="001F4A27"/>
    <w:rsid w:val="001F667C"/>
    <w:rsid w:val="001F6A89"/>
    <w:rsid w:val="001F6BFB"/>
    <w:rsid w:val="001F7071"/>
    <w:rsid w:val="001F7640"/>
    <w:rsid w:val="00200D5B"/>
    <w:rsid w:val="0020271C"/>
    <w:rsid w:val="00203B34"/>
    <w:rsid w:val="00210864"/>
    <w:rsid w:val="00210D48"/>
    <w:rsid w:val="00213195"/>
    <w:rsid w:val="0021493F"/>
    <w:rsid w:val="00214F13"/>
    <w:rsid w:val="0021611E"/>
    <w:rsid w:val="0022113A"/>
    <w:rsid w:val="002223FC"/>
    <w:rsid w:val="00222F61"/>
    <w:rsid w:val="00224B93"/>
    <w:rsid w:val="00225336"/>
    <w:rsid w:val="00227384"/>
    <w:rsid w:val="002301E4"/>
    <w:rsid w:val="00232711"/>
    <w:rsid w:val="00235C73"/>
    <w:rsid w:val="00235F17"/>
    <w:rsid w:val="00236E1D"/>
    <w:rsid w:val="002405E5"/>
    <w:rsid w:val="00240BFA"/>
    <w:rsid w:val="00240D0B"/>
    <w:rsid w:val="00244C3B"/>
    <w:rsid w:val="00246414"/>
    <w:rsid w:val="00247CBC"/>
    <w:rsid w:val="002529ED"/>
    <w:rsid w:val="00254DE5"/>
    <w:rsid w:val="00257DC4"/>
    <w:rsid w:val="00261CAE"/>
    <w:rsid w:val="00262599"/>
    <w:rsid w:val="00263811"/>
    <w:rsid w:val="00263F7E"/>
    <w:rsid w:val="00265723"/>
    <w:rsid w:val="00266233"/>
    <w:rsid w:val="002663D9"/>
    <w:rsid w:val="0026745D"/>
    <w:rsid w:val="002677CE"/>
    <w:rsid w:val="00272CD4"/>
    <w:rsid w:val="002731D0"/>
    <w:rsid w:val="00274FD8"/>
    <w:rsid w:val="00275E82"/>
    <w:rsid w:val="00277283"/>
    <w:rsid w:val="0027742D"/>
    <w:rsid w:val="002803BD"/>
    <w:rsid w:val="00281242"/>
    <w:rsid w:val="00281DE9"/>
    <w:rsid w:val="002841FE"/>
    <w:rsid w:val="00284C95"/>
    <w:rsid w:val="00284EEA"/>
    <w:rsid w:val="00286237"/>
    <w:rsid w:val="00287B38"/>
    <w:rsid w:val="00287BD1"/>
    <w:rsid w:val="00287C1F"/>
    <w:rsid w:val="00290C21"/>
    <w:rsid w:val="00292030"/>
    <w:rsid w:val="002951FE"/>
    <w:rsid w:val="00297465"/>
    <w:rsid w:val="002A079E"/>
    <w:rsid w:val="002A0C22"/>
    <w:rsid w:val="002A11AC"/>
    <w:rsid w:val="002A1944"/>
    <w:rsid w:val="002A5094"/>
    <w:rsid w:val="002A50E8"/>
    <w:rsid w:val="002A54D5"/>
    <w:rsid w:val="002A5DA3"/>
    <w:rsid w:val="002A7581"/>
    <w:rsid w:val="002A7C57"/>
    <w:rsid w:val="002B0F61"/>
    <w:rsid w:val="002B451E"/>
    <w:rsid w:val="002B4B30"/>
    <w:rsid w:val="002B71D6"/>
    <w:rsid w:val="002C419F"/>
    <w:rsid w:val="002C4FAF"/>
    <w:rsid w:val="002C5D84"/>
    <w:rsid w:val="002C6AB0"/>
    <w:rsid w:val="002C7C8A"/>
    <w:rsid w:val="002C7F44"/>
    <w:rsid w:val="002D1FFC"/>
    <w:rsid w:val="002D500C"/>
    <w:rsid w:val="002E0178"/>
    <w:rsid w:val="002E178B"/>
    <w:rsid w:val="002E39B8"/>
    <w:rsid w:val="002E3F3C"/>
    <w:rsid w:val="002E4351"/>
    <w:rsid w:val="002E4539"/>
    <w:rsid w:val="002E6152"/>
    <w:rsid w:val="002E6BAE"/>
    <w:rsid w:val="002E78C8"/>
    <w:rsid w:val="002E7EB4"/>
    <w:rsid w:val="002F19A2"/>
    <w:rsid w:val="002F1F49"/>
    <w:rsid w:val="002F7FE3"/>
    <w:rsid w:val="00301A97"/>
    <w:rsid w:val="0030417B"/>
    <w:rsid w:val="00304803"/>
    <w:rsid w:val="0030754C"/>
    <w:rsid w:val="003101AD"/>
    <w:rsid w:val="00310E69"/>
    <w:rsid w:val="00311290"/>
    <w:rsid w:val="0031145C"/>
    <w:rsid w:val="00314A83"/>
    <w:rsid w:val="00316140"/>
    <w:rsid w:val="00317F56"/>
    <w:rsid w:val="003229EB"/>
    <w:rsid w:val="003263C3"/>
    <w:rsid w:val="0032706C"/>
    <w:rsid w:val="00327EBC"/>
    <w:rsid w:val="00330468"/>
    <w:rsid w:val="003328EC"/>
    <w:rsid w:val="003342B2"/>
    <w:rsid w:val="0033455C"/>
    <w:rsid w:val="003352E8"/>
    <w:rsid w:val="003358B1"/>
    <w:rsid w:val="0033792B"/>
    <w:rsid w:val="00340C0F"/>
    <w:rsid w:val="003418A0"/>
    <w:rsid w:val="00342E3E"/>
    <w:rsid w:val="00343DBC"/>
    <w:rsid w:val="0034547E"/>
    <w:rsid w:val="003457CE"/>
    <w:rsid w:val="003505FF"/>
    <w:rsid w:val="00353522"/>
    <w:rsid w:val="003535C0"/>
    <w:rsid w:val="00357D4A"/>
    <w:rsid w:val="00360AC0"/>
    <w:rsid w:val="003611BB"/>
    <w:rsid w:val="00361262"/>
    <w:rsid w:val="003612DC"/>
    <w:rsid w:val="00362EE2"/>
    <w:rsid w:val="003630D1"/>
    <w:rsid w:val="00363608"/>
    <w:rsid w:val="00363D6E"/>
    <w:rsid w:val="0036461D"/>
    <w:rsid w:val="00366CEF"/>
    <w:rsid w:val="003713DF"/>
    <w:rsid w:val="003714DB"/>
    <w:rsid w:val="00372185"/>
    <w:rsid w:val="00374394"/>
    <w:rsid w:val="00374399"/>
    <w:rsid w:val="003743F5"/>
    <w:rsid w:val="00377698"/>
    <w:rsid w:val="00377860"/>
    <w:rsid w:val="00377998"/>
    <w:rsid w:val="00380355"/>
    <w:rsid w:val="00380B03"/>
    <w:rsid w:val="00381D28"/>
    <w:rsid w:val="00383229"/>
    <w:rsid w:val="0039254C"/>
    <w:rsid w:val="00392B72"/>
    <w:rsid w:val="00393959"/>
    <w:rsid w:val="0039693A"/>
    <w:rsid w:val="003976D6"/>
    <w:rsid w:val="003979AF"/>
    <w:rsid w:val="003A254E"/>
    <w:rsid w:val="003A3253"/>
    <w:rsid w:val="003A337B"/>
    <w:rsid w:val="003A3BEE"/>
    <w:rsid w:val="003A3E49"/>
    <w:rsid w:val="003A3F29"/>
    <w:rsid w:val="003A45BB"/>
    <w:rsid w:val="003B20CC"/>
    <w:rsid w:val="003C00B4"/>
    <w:rsid w:val="003C195B"/>
    <w:rsid w:val="003C1B55"/>
    <w:rsid w:val="003C2FF6"/>
    <w:rsid w:val="003D0B2C"/>
    <w:rsid w:val="003D4A91"/>
    <w:rsid w:val="003D663E"/>
    <w:rsid w:val="003D6A7F"/>
    <w:rsid w:val="003E173F"/>
    <w:rsid w:val="003E372F"/>
    <w:rsid w:val="003E3CEF"/>
    <w:rsid w:val="003E5F8C"/>
    <w:rsid w:val="003E6397"/>
    <w:rsid w:val="003E6567"/>
    <w:rsid w:val="003E6853"/>
    <w:rsid w:val="003F0059"/>
    <w:rsid w:val="003F0268"/>
    <w:rsid w:val="003F09E5"/>
    <w:rsid w:val="003F13F0"/>
    <w:rsid w:val="003F140F"/>
    <w:rsid w:val="003F1426"/>
    <w:rsid w:val="003F3891"/>
    <w:rsid w:val="003F4EF8"/>
    <w:rsid w:val="003F7996"/>
    <w:rsid w:val="003F7C33"/>
    <w:rsid w:val="00400CB8"/>
    <w:rsid w:val="00403FAB"/>
    <w:rsid w:val="004057F9"/>
    <w:rsid w:val="004066A3"/>
    <w:rsid w:val="00407B09"/>
    <w:rsid w:val="00410284"/>
    <w:rsid w:val="00410AEE"/>
    <w:rsid w:val="004208F8"/>
    <w:rsid w:val="004226DD"/>
    <w:rsid w:val="00422D9D"/>
    <w:rsid w:val="004243C4"/>
    <w:rsid w:val="0042586A"/>
    <w:rsid w:val="00425877"/>
    <w:rsid w:val="00425EA1"/>
    <w:rsid w:val="0043338E"/>
    <w:rsid w:val="004358F7"/>
    <w:rsid w:val="00435AAA"/>
    <w:rsid w:val="00440675"/>
    <w:rsid w:val="004406D6"/>
    <w:rsid w:val="004407B1"/>
    <w:rsid w:val="00444B53"/>
    <w:rsid w:val="0044598B"/>
    <w:rsid w:val="004460B2"/>
    <w:rsid w:val="00450457"/>
    <w:rsid w:val="0045193E"/>
    <w:rsid w:val="00453C4A"/>
    <w:rsid w:val="00454D09"/>
    <w:rsid w:val="00454E8A"/>
    <w:rsid w:val="00457483"/>
    <w:rsid w:val="00460E3A"/>
    <w:rsid w:val="00461378"/>
    <w:rsid w:val="004620EB"/>
    <w:rsid w:val="00463B7C"/>
    <w:rsid w:val="004645BA"/>
    <w:rsid w:val="004649FE"/>
    <w:rsid w:val="004673B8"/>
    <w:rsid w:val="00467D94"/>
    <w:rsid w:val="0047041D"/>
    <w:rsid w:val="00472912"/>
    <w:rsid w:val="004730C2"/>
    <w:rsid w:val="00475022"/>
    <w:rsid w:val="00480C40"/>
    <w:rsid w:val="004817C2"/>
    <w:rsid w:val="004841AF"/>
    <w:rsid w:val="0048479E"/>
    <w:rsid w:val="00484E4C"/>
    <w:rsid w:val="00486B3E"/>
    <w:rsid w:val="00487F23"/>
    <w:rsid w:val="00492C3F"/>
    <w:rsid w:val="00493851"/>
    <w:rsid w:val="00495DB1"/>
    <w:rsid w:val="0049660E"/>
    <w:rsid w:val="00497B7B"/>
    <w:rsid w:val="004A02D3"/>
    <w:rsid w:val="004A4903"/>
    <w:rsid w:val="004A4C71"/>
    <w:rsid w:val="004B10A1"/>
    <w:rsid w:val="004B20A8"/>
    <w:rsid w:val="004B2B06"/>
    <w:rsid w:val="004B4D77"/>
    <w:rsid w:val="004B5029"/>
    <w:rsid w:val="004C100B"/>
    <w:rsid w:val="004C1BD2"/>
    <w:rsid w:val="004C2311"/>
    <w:rsid w:val="004C2D4E"/>
    <w:rsid w:val="004C34A6"/>
    <w:rsid w:val="004C6AD2"/>
    <w:rsid w:val="004C6ED6"/>
    <w:rsid w:val="004C789D"/>
    <w:rsid w:val="004D057F"/>
    <w:rsid w:val="004D2D2F"/>
    <w:rsid w:val="004D3134"/>
    <w:rsid w:val="004D4806"/>
    <w:rsid w:val="004E0F47"/>
    <w:rsid w:val="004E3686"/>
    <w:rsid w:val="004E37CA"/>
    <w:rsid w:val="004E4EA4"/>
    <w:rsid w:val="004E61B4"/>
    <w:rsid w:val="004E722D"/>
    <w:rsid w:val="004E72B3"/>
    <w:rsid w:val="004F203A"/>
    <w:rsid w:val="004F2A38"/>
    <w:rsid w:val="004F7563"/>
    <w:rsid w:val="004F75EC"/>
    <w:rsid w:val="005010AD"/>
    <w:rsid w:val="005021AA"/>
    <w:rsid w:val="0050286E"/>
    <w:rsid w:val="00502CAE"/>
    <w:rsid w:val="00503EB0"/>
    <w:rsid w:val="00510CDF"/>
    <w:rsid w:val="00511A09"/>
    <w:rsid w:val="005124BE"/>
    <w:rsid w:val="005126F7"/>
    <w:rsid w:val="005174F1"/>
    <w:rsid w:val="0052067B"/>
    <w:rsid w:val="00521427"/>
    <w:rsid w:val="005218A5"/>
    <w:rsid w:val="005218F7"/>
    <w:rsid w:val="00521E53"/>
    <w:rsid w:val="0052487B"/>
    <w:rsid w:val="00531970"/>
    <w:rsid w:val="00531C4F"/>
    <w:rsid w:val="00531C94"/>
    <w:rsid w:val="00533DEE"/>
    <w:rsid w:val="00534DC8"/>
    <w:rsid w:val="00535680"/>
    <w:rsid w:val="00535B71"/>
    <w:rsid w:val="00537010"/>
    <w:rsid w:val="00537D5B"/>
    <w:rsid w:val="00540394"/>
    <w:rsid w:val="00541386"/>
    <w:rsid w:val="005416D7"/>
    <w:rsid w:val="00543F2B"/>
    <w:rsid w:val="0054712D"/>
    <w:rsid w:val="0054746E"/>
    <w:rsid w:val="0055143B"/>
    <w:rsid w:val="00551AD6"/>
    <w:rsid w:val="005529F5"/>
    <w:rsid w:val="005540AD"/>
    <w:rsid w:val="0055424F"/>
    <w:rsid w:val="00554E14"/>
    <w:rsid w:val="00556929"/>
    <w:rsid w:val="00556DB0"/>
    <w:rsid w:val="00557751"/>
    <w:rsid w:val="00557EE4"/>
    <w:rsid w:val="005612EE"/>
    <w:rsid w:val="00564321"/>
    <w:rsid w:val="00567E3F"/>
    <w:rsid w:val="00570434"/>
    <w:rsid w:val="005711B7"/>
    <w:rsid w:val="005719A8"/>
    <w:rsid w:val="005728FC"/>
    <w:rsid w:val="005737E7"/>
    <w:rsid w:val="005761DB"/>
    <w:rsid w:val="00577780"/>
    <w:rsid w:val="00581A80"/>
    <w:rsid w:val="00581F38"/>
    <w:rsid w:val="005843C8"/>
    <w:rsid w:val="00585A62"/>
    <w:rsid w:val="005860CD"/>
    <w:rsid w:val="00591BFA"/>
    <w:rsid w:val="00593CBD"/>
    <w:rsid w:val="00595B42"/>
    <w:rsid w:val="00597433"/>
    <w:rsid w:val="005A0E0A"/>
    <w:rsid w:val="005A1AFF"/>
    <w:rsid w:val="005A1F5C"/>
    <w:rsid w:val="005A4225"/>
    <w:rsid w:val="005A42D8"/>
    <w:rsid w:val="005A4CC7"/>
    <w:rsid w:val="005A64D7"/>
    <w:rsid w:val="005A705C"/>
    <w:rsid w:val="005A7554"/>
    <w:rsid w:val="005A7764"/>
    <w:rsid w:val="005B1EEB"/>
    <w:rsid w:val="005B39C8"/>
    <w:rsid w:val="005B5564"/>
    <w:rsid w:val="005B5D11"/>
    <w:rsid w:val="005B67CF"/>
    <w:rsid w:val="005B7133"/>
    <w:rsid w:val="005B759B"/>
    <w:rsid w:val="005B7769"/>
    <w:rsid w:val="005B7C78"/>
    <w:rsid w:val="005C2EC7"/>
    <w:rsid w:val="005C4A44"/>
    <w:rsid w:val="005C627D"/>
    <w:rsid w:val="005D0A88"/>
    <w:rsid w:val="005D1DF3"/>
    <w:rsid w:val="005D2207"/>
    <w:rsid w:val="005D2313"/>
    <w:rsid w:val="005D2B0B"/>
    <w:rsid w:val="005D528B"/>
    <w:rsid w:val="005D6690"/>
    <w:rsid w:val="005D6C05"/>
    <w:rsid w:val="005E1668"/>
    <w:rsid w:val="005E383E"/>
    <w:rsid w:val="005E3D89"/>
    <w:rsid w:val="005E42BC"/>
    <w:rsid w:val="005E4820"/>
    <w:rsid w:val="005E4EC9"/>
    <w:rsid w:val="005E5515"/>
    <w:rsid w:val="005E5AF8"/>
    <w:rsid w:val="005E7365"/>
    <w:rsid w:val="005F15FA"/>
    <w:rsid w:val="005F337D"/>
    <w:rsid w:val="005F4385"/>
    <w:rsid w:val="005F63ED"/>
    <w:rsid w:val="005F7647"/>
    <w:rsid w:val="00601AEC"/>
    <w:rsid w:val="0060269A"/>
    <w:rsid w:val="00602B97"/>
    <w:rsid w:val="00604599"/>
    <w:rsid w:val="006065F3"/>
    <w:rsid w:val="00611DFF"/>
    <w:rsid w:val="00612334"/>
    <w:rsid w:val="00613899"/>
    <w:rsid w:val="00614961"/>
    <w:rsid w:val="006165AB"/>
    <w:rsid w:val="0062182A"/>
    <w:rsid w:val="00623C3F"/>
    <w:rsid w:val="006310F0"/>
    <w:rsid w:val="006311CB"/>
    <w:rsid w:val="0063133D"/>
    <w:rsid w:val="00635FF6"/>
    <w:rsid w:val="0063699D"/>
    <w:rsid w:val="00636BA5"/>
    <w:rsid w:val="006371F3"/>
    <w:rsid w:val="00637CFB"/>
    <w:rsid w:val="00640312"/>
    <w:rsid w:val="00640F40"/>
    <w:rsid w:val="006445BE"/>
    <w:rsid w:val="006447A6"/>
    <w:rsid w:val="00644E5A"/>
    <w:rsid w:val="00646296"/>
    <w:rsid w:val="006464FF"/>
    <w:rsid w:val="00647AB4"/>
    <w:rsid w:val="0065072C"/>
    <w:rsid w:val="00651C9E"/>
    <w:rsid w:val="006563A7"/>
    <w:rsid w:val="00660459"/>
    <w:rsid w:val="006622D8"/>
    <w:rsid w:val="0066632F"/>
    <w:rsid w:val="00666C41"/>
    <w:rsid w:val="00666D9C"/>
    <w:rsid w:val="006676ED"/>
    <w:rsid w:val="006712D0"/>
    <w:rsid w:val="00671BF8"/>
    <w:rsid w:val="00671D7B"/>
    <w:rsid w:val="006733DB"/>
    <w:rsid w:val="0067398A"/>
    <w:rsid w:val="00675458"/>
    <w:rsid w:val="00675EA1"/>
    <w:rsid w:val="0067625C"/>
    <w:rsid w:val="00677246"/>
    <w:rsid w:val="00677B0F"/>
    <w:rsid w:val="00677EC6"/>
    <w:rsid w:val="00680471"/>
    <w:rsid w:val="00680D41"/>
    <w:rsid w:val="00681C00"/>
    <w:rsid w:val="006841BA"/>
    <w:rsid w:val="006847B0"/>
    <w:rsid w:val="00690602"/>
    <w:rsid w:val="00691904"/>
    <w:rsid w:val="0069386A"/>
    <w:rsid w:val="0069789C"/>
    <w:rsid w:val="006979A0"/>
    <w:rsid w:val="006A4011"/>
    <w:rsid w:val="006A4465"/>
    <w:rsid w:val="006A47DA"/>
    <w:rsid w:val="006A685A"/>
    <w:rsid w:val="006A6E68"/>
    <w:rsid w:val="006A7334"/>
    <w:rsid w:val="006B1956"/>
    <w:rsid w:val="006B2EB7"/>
    <w:rsid w:val="006B35B1"/>
    <w:rsid w:val="006C0788"/>
    <w:rsid w:val="006C0EA5"/>
    <w:rsid w:val="006C11E4"/>
    <w:rsid w:val="006C1636"/>
    <w:rsid w:val="006C18C7"/>
    <w:rsid w:val="006C2049"/>
    <w:rsid w:val="006C3D8F"/>
    <w:rsid w:val="006C554B"/>
    <w:rsid w:val="006D3481"/>
    <w:rsid w:val="006D40BD"/>
    <w:rsid w:val="006D4B1F"/>
    <w:rsid w:val="006D4B59"/>
    <w:rsid w:val="006E202B"/>
    <w:rsid w:val="006F0DE9"/>
    <w:rsid w:val="006F1406"/>
    <w:rsid w:val="006F141D"/>
    <w:rsid w:val="006F2123"/>
    <w:rsid w:val="006F3C95"/>
    <w:rsid w:val="006F40FF"/>
    <w:rsid w:val="006F44F0"/>
    <w:rsid w:val="006F769C"/>
    <w:rsid w:val="007046CF"/>
    <w:rsid w:val="00704D2A"/>
    <w:rsid w:val="00705776"/>
    <w:rsid w:val="00705A96"/>
    <w:rsid w:val="00706EB7"/>
    <w:rsid w:val="00707FB2"/>
    <w:rsid w:val="00710073"/>
    <w:rsid w:val="00710A53"/>
    <w:rsid w:val="00710A74"/>
    <w:rsid w:val="00713E90"/>
    <w:rsid w:val="00715797"/>
    <w:rsid w:val="00717102"/>
    <w:rsid w:val="0072053C"/>
    <w:rsid w:val="00720EAB"/>
    <w:rsid w:val="007228CE"/>
    <w:rsid w:val="007236B5"/>
    <w:rsid w:val="00724E22"/>
    <w:rsid w:val="00731785"/>
    <w:rsid w:val="00732034"/>
    <w:rsid w:val="00732BCA"/>
    <w:rsid w:val="00733C24"/>
    <w:rsid w:val="00734436"/>
    <w:rsid w:val="0073529E"/>
    <w:rsid w:val="00735823"/>
    <w:rsid w:val="007364AD"/>
    <w:rsid w:val="00737B3B"/>
    <w:rsid w:val="007403DD"/>
    <w:rsid w:val="00740B21"/>
    <w:rsid w:val="00740E33"/>
    <w:rsid w:val="0074108C"/>
    <w:rsid w:val="007420D6"/>
    <w:rsid w:val="00742416"/>
    <w:rsid w:val="007458A9"/>
    <w:rsid w:val="00746925"/>
    <w:rsid w:val="00746A84"/>
    <w:rsid w:val="00752E8D"/>
    <w:rsid w:val="00753155"/>
    <w:rsid w:val="007555C7"/>
    <w:rsid w:val="007567AC"/>
    <w:rsid w:val="007578DA"/>
    <w:rsid w:val="00757A4C"/>
    <w:rsid w:val="007612C3"/>
    <w:rsid w:val="007613E4"/>
    <w:rsid w:val="007616DD"/>
    <w:rsid w:val="00762026"/>
    <w:rsid w:val="00762725"/>
    <w:rsid w:val="0076311E"/>
    <w:rsid w:val="00764153"/>
    <w:rsid w:val="0076641F"/>
    <w:rsid w:val="00767EEA"/>
    <w:rsid w:val="00771194"/>
    <w:rsid w:val="00772F14"/>
    <w:rsid w:val="007741D7"/>
    <w:rsid w:val="0077540B"/>
    <w:rsid w:val="0077589F"/>
    <w:rsid w:val="00776EDA"/>
    <w:rsid w:val="00780316"/>
    <w:rsid w:val="00780B9F"/>
    <w:rsid w:val="00780E6F"/>
    <w:rsid w:val="00780FE4"/>
    <w:rsid w:val="007817A2"/>
    <w:rsid w:val="00781CE2"/>
    <w:rsid w:val="00781EF3"/>
    <w:rsid w:val="00782273"/>
    <w:rsid w:val="007822DD"/>
    <w:rsid w:val="0078286B"/>
    <w:rsid w:val="0078357F"/>
    <w:rsid w:val="00784FD3"/>
    <w:rsid w:val="00787CBE"/>
    <w:rsid w:val="00791AB5"/>
    <w:rsid w:val="00792EB4"/>
    <w:rsid w:val="0079416F"/>
    <w:rsid w:val="007A0FDC"/>
    <w:rsid w:val="007A30BA"/>
    <w:rsid w:val="007A353C"/>
    <w:rsid w:val="007A3743"/>
    <w:rsid w:val="007A4E47"/>
    <w:rsid w:val="007A64C0"/>
    <w:rsid w:val="007A7917"/>
    <w:rsid w:val="007B0079"/>
    <w:rsid w:val="007B094E"/>
    <w:rsid w:val="007B0DF5"/>
    <w:rsid w:val="007B366C"/>
    <w:rsid w:val="007B4447"/>
    <w:rsid w:val="007B541F"/>
    <w:rsid w:val="007B5BD0"/>
    <w:rsid w:val="007B6DC2"/>
    <w:rsid w:val="007B763F"/>
    <w:rsid w:val="007C1DB2"/>
    <w:rsid w:val="007C29A3"/>
    <w:rsid w:val="007C29D7"/>
    <w:rsid w:val="007C3CB9"/>
    <w:rsid w:val="007C5B8A"/>
    <w:rsid w:val="007C713F"/>
    <w:rsid w:val="007D0BE2"/>
    <w:rsid w:val="007D346C"/>
    <w:rsid w:val="007D3D5A"/>
    <w:rsid w:val="007D4230"/>
    <w:rsid w:val="007D4AB9"/>
    <w:rsid w:val="007D5904"/>
    <w:rsid w:val="007D60CF"/>
    <w:rsid w:val="007D7436"/>
    <w:rsid w:val="007E038D"/>
    <w:rsid w:val="007E166C"/>
    <w:rsid w:val="007E1F88"/>
    <w:rsid w:val="007E539C"/>
    <w:rsid w:val="007E53D8"/>
    <w:rsid w:val="007E597D"/>
    <w:rsid w:val="007E6406"/>
    <w:rsid w:val="007E674E"/>
    <w:rsid w:val="007E77A2"/>
    <w:rsid w:val="007F1834"/>
    <w:rsid w:val="007F1B90"/>
    <w:rsid w:val="007F3638"/>
    <w:rsid w:val="007F3EC3"/>
    <w:rsid w:val="007F438E"/>
    <w:rsid w:val="007F65A0"/>
    <w:rsid w:val="007F6A88"/>
    <w:rsid w:val="00800C38"/>
    <w:rsid w:val="00804CB7"/>
    <w:rsid w:val="008055DC"/>
    <w:rsid w:val="00805F03"/>
    <w:rsid w:val="00805FD4"/>
    <w:rsid w:val="00806EE5"/>
    <w:rsid w:val="00807EE0"/>
    <w:rsid w:val="008110EA"/>
    <w:rsid w:val="00811479"/>
    <w:rsid w:val="00812756"/>
    <w:rsid w:val="00814119"/>
    <w:rsid w:val="00814B4C"/>
    <w:rsid w:val="008154A2"/>
    <w:rsid w:val="00816138"/>
    <w:rsid w:val="008166B1"/>
    <w:rsid w:val="008208D2"/>
    <w:rsid w:val="008213E6"/>
    <w:rsid w:val="00824198"/>
    <w:rsid w:val="0082450E"/>
    <w:rsid w:val="00826578"/>
    <w:rsid w:val="008267D4"/>
    <w:rsid w:val="008276E6"/>
    <w:rsid w:val="00830986"/>
    <w:rsid w:val="00831382"/>
    <w:rsid w:val="008332B3"/>
    <w:rsid w:val="0083390C"/>
    <w:rsid w:val="008339B5"/>
    <w:rsid w:val="008363D6"/>
    <w:rsid w:val="0084034A"/>
    <w:rsid w:val="008409B8"/>
    <w:rsid w:val="00842FB3"/>
    <w:rsid w:val="0084353F"/>
    <w:rsid w:val="008437B8"/>
    <w:rsid w:val="008502E1"/>
    <w:rsid w:val="00850CD7"/>
    <w:rsid w:val="00851545"/>
    <w:rsid w:val="00851C12"/>
    <w:rsid w:val="00855760"/>
    <w:rsid w:val="00857C52"/>
    <w:rsid w:val="00857D0C"/>
    <w:rsid w:val="008631C6"/>
    <w:rsid w:val="00865575"/>
    <w:rsid w:val="008703C9"/>
    <w:rsid w:val="00870951"/>
    <w:rsid w:val="00870A05"/>
    <w:rsid w:val="00872534"/>
    <w:rsid w:val="00872DCE"/>
    <w:rsid w:val="00876401"/>
    <w:rsid w:val="00877E16"/>
    <w:rsid w:val="008839AF"/>
    <w:rsid w:val="00887482"/>
    <w:rsid w:val="00890003"/>
    <w:rsid w:val="00891CB6"/>
    <w:rsid w:val="008920CE"/>
    <w:rsid w:val="00893C19"/>
    <w:rsid w:val="00893EDF"/>
    <w:rsid w:val="008963A4"/>
    <w:rsid w:val="00896D94"/>
    <w:rsid w:val="008974B6"/>
    <w:rsid w:val="008A7AD9"/>
    <w:rsid w:val="008B30B4"/>
    <w:rsid w:val="008B34A8"/>
    <w:rsid w:val="008B4E17"/>
    <w:rsid w:val="008B61CF"/>
    <w:rsid w:val="008B6770"/>
    <w:rsid w:val="008B6FB3"/>
    <w:rsid w:val="008B6FE0"/>
    <w:rsid w:val="008B7508"/>
    <w:rsid w:val="008C32C8"/>
    <w:rsid w:val="008C35C2"/>
    <w:rsid w:val="008C43A3"/>
    <w:rsid w:val="008C44AF"/>
    <w:rsid w:val="008C4BB8"/>
    <w:rsid w:val="008C5187"/>
    <w:rsid w:val="008C7337"/>
    <w:rsid w:val="008C75B3"/>
    <w:rsid w:val="008D4590"/>
    <w:rsid w:val="008D51A1"/>
    <w:rsid w:val="008D7376"/>
    <w:rsid w:val="008D74C2"/>
    <w:rsid w:val="008E02FA"/>
    <w:rsid w:val="008E07D7"/>
    <w:rsid w:val="008E1BF4"/>
    <w:rsid w:val="008E25B3"/>
    <w:rsid w:val="008E5424"/>
    <w:rsid w:val="008F3239"/>
    <w:rsid w:val="008F58FB"/>
    <w:rsid w:val="008F704C"/>
    <w:rsid w:val="00901625"/>
    <w:rsid w:val="00902E95"/>
    <w:rsid w:val="009043E6"/>
    <w:rsid w:val="00904FF9"/>
    <w:rsid w:val="00905146"/>
    <w:rsid w:val="00907820"/>
    <w:rsid w:val="00907D39"/>
    <w:rsid w:val="00910F4A"/>
    <w:rsid w:val="00913BAD"/>
    <w:rsid w:val="00913FE3"/>
    <w:rsid w:val="00914A9C"/>
    <w:rsid w:val="00917361"/>
    <w:rsid w:val="00922318"/>
    <w:rsid w:val="0092277E"/>
    <w:rsid w:val="00925967"/>
    <w:rsid w:val="00927BE9"/>
    <w:rsid w:val="00931172"/>
    <w:rsid w:val="00932601"/>
    <w:rsid w:val="009338E1"/>
    <w:rsid w:val="009352BF"/>
    <w:rsid w:val="00935476"/>
    <w:rsid w:val="00935864"/>
    <w:rsid w:val="00940E55"/>
    <w:rsid w:val="00941A07"/>
    <w:rsid w:val="009436CD"/>
    <w:rsid w:val="009452B0"/>
    <w:rsid w:val="009507FC"/>
    <w:rsid w:val="00951F70"/>
    <w:rsid w:val="00952922"/>
    <w:rsid w:val="00952C6C"/>
    <w:rsid w:val="00953D48"/>
    <w:rsid w:val="00954E81"/>
    <w:rsid w:val="0095505C"/>
    <w:rsid w:val="00957D6B"/>
    <w:rsid w:val="009612EF"/>
    <w:rsid w:val="00962477"/>
    <w:rsid w:val="00963C6A"/>
    <w:rsid w:val="009657AC"/>
    <w:rsid w:val="00966883"/>
    <w:rsid w:val="00967639"/>
    <w:rsid w:val="00971640"/>
    <w:rsid w:val="00971EA8"/>
    <w:rsid w:val="00972730"/>
    <w:rsid w:val="00972E82"/>
    <w:rsid w:val="009740B0"/>
    <w:rsid w:val="0097493D"/>
    <w:rsid w:val="009767F0"/>
    <w:rsid w:val="009806AD"/>
    <w:rsid w:val="00986804"/>
    <w:rsid w:val="00986C87"/>
    <w:rsid w:val="00990914"/>
    <w:rsid w:val="009912B2"/>
    <w:rsid w:val="00993540"/>
    <w:rsid w:val="0099469C"/>
    <w:rsid w:val="00995FCB"/>
    <w:rsid w:val="00996350"/>
    <w:rsid w:val="009A2081"/>
    <w:rsid w:val="009A30C2"/>
    <w:rsid w:val="009A5601"/>
    <w:rsid w:val="009A6CC2"/>
    <w:rsid w:val="009A7B3E"/>
    <w:rsid w:val="009B0630"/>
    <w:rsid w:val="009B08DC"/>
    <w:rsid w:val="009B1CFF"/>
    <w:rsid w:val="009B1D85"/>
    <w:rsid w:val="009B1E5E"/>
    <w:rsid w:val="009B3622"/>
    <w:rsid w:val="009B509F"/>
    <w:rsid w:val="009B5577"/>
    <w:rsid w:val="009B6702"/>
    <w:rsid w:val="009B7157"/>
    <w:rsid w:val="009C0CD8"/>
    <w:rsid w:val="009C31E0"/>
    <w:rsid w:val="009C3BD7"/>
    <w:rsid w:val="009C4978"/>
    <w:rsid w:val="009C4DD6"/>
    <w:rsid w:val="009C4E8A"/>
    <w:rsid w:val="009C4F19"/>
    <w:rsid w:val="009C6A24"/>
    <w:rsid w:val="009C7AE0"/>
    <w:rsid w:val="009D3D12"/>
    <w:rsid w:val="009D47A7"/>
    <w:rsid w:val="009D4B29"/>
    <w:rsid w:val="009D5385"/>
    <w:rsid w:val="009D55B3"/>
    <w:rsid w:val="009D62DD"/>
    <w:rsid w:val="009E0247"/>
    <w:rsid w:val="009E19E4"/>
    <w:rsid w:val="009E23CE"/>
    <w:rsid w:val="009E54C0"/>
    <w:rsid w:val="009E637A"/>
    <w:rsid w:val="009F1E49"/>
    <w:rsid w:val="009F22B2"/>
    <w:rsid w:val="009F3EDF"/>
    <w:rsid w:val="009F4612"/>
    <w:rsid w:val="009F4CB7"/>
    <w:rsid w:val="009F4CEC"/>
    <w:rsid w:val="009F65BA"/>
    <w:rsid w:val="009F6D6D"/>
    <w:rsid w:val="00A0016A"/>
    <w:rsid w:val="00A02DA0"/>
    <w:rsid w:val="00A0392C"/>
    <w:rsid w:val="00A04123"/>
    <w:rsid w:val="00A04B3F"/>
    <w:rsid w:val="00A057FE"/>
    <w:rsid w:val="00A059DA"/>
    <w:rsid w:val="00A0600F"/>
    <w:rsid w:val="00A10313"/>
    <w:rsid w:val="00A1153C"/>
    <w:rsid w:val="00A12238"/>
    <w:rsid w:val="00A12351"/>
    <w:rsid w:val="00A1299C"/>
    <w:rsid w:val="00A13222"/>
    <w:rsid w:val="00A13811"/>
    <w:rsid w:val="00A149D7"/>
    <w:rsid w:val="00A175D8"/>
    <w:rsid w:val="00A20228"/>
    <w:rsid w:val="00A22EAC"/>
    <w:rsid w:val="00A31F2A"/>
    <w:rsid w:val="00A33055"/>
    <w:rsid w:val="00A33871"/>
    <w:rsid w:val="00A34457"/>
    <w:rsid w:val="00A35536"/>
    <w:rsid w:val="00A420F1"/>
    <w:rsid w:val="00A43906"/>
    <w:rsid w:val="00A45DA9"/>
    <w:rsid w:val="00A46234"/>
    <w:rsid w:val="00A46957"/>
    <w:rsid w:val="00A47F44"/>
    <w:rsid w:val="00A500BE"/>
    <w:rsid w:val="00A51A07"/>
    <w:rsid w:val="00A51DCF"/>
    <w:rsid w:val="00A53AEB"/>
    <w:rsid w:val="00A568A4"/>
    <w:rsid w:val="00A6264F"/>
    <w:rsid w:val="00A63F54"/>
    <w:rsid w:val="00A64315"/>
    <w:rsid w:val="00A659F7"/>
    <w:rsid w:val="00A66A24"/>
    <w:rsid w:val="00A70283"/>
    <w:rsid w:val="00A75515"/>
    <w:rsid w:val="00A76A7E"/>
    <w:rsid w:val="00A774BD"/>
    <w:rsid w:val="00A833F3"/>
    <w:rsid w:val="00A83F41"/>
    <w:rsid w:val="00A8472E"/>
    <w:rsid w:val="00A865B6"/>
    <w:rsid w:val="00A86DE6"/>
    <w:rsid w:val="00A875EA"/>
    <w:rsid w:val="00A91959"/>
    <w:rsid w:val="00A91E69"/>
    <w:rsid w:val="00A920E5"/>
    <w:rsid w:val="00A92A71"/>
    <w:rsid w:val="00A93912"/>
    <w:rsid w:val="00A95DBD"/>
    <w:rsid w:val="00A96E37"/>
    <w:rsid w:val="00A972FE"/>
    <w:rsid w:val="00AA049F"/>
    <w:rsid w:val="00AA4723"/>
    <w:rsid w:val="00AA4C65"/>
    <w:rsid w:val="00AA5ACE"/>
    <w:rsid w:val="00AA645D"/>
    <w:rsid w:val="00AA6E4C"/>
    <w:rsid w:val="00AA73E7"/>
    <w:rsid w:val="00AA7E7C"/>
    <w:rsid w:val="00AB1981"/>
    <w:rsid w:val="00AB3CB8"/>
    <w:rsid w:val="00AB4C14"/>
    <w:rsid w:val="00AB546A"/>
    <w:rsid w:val="00AC0C18"/>
    <w:rsid w:val="00AC1B55"/>
    <w:rsid w:val="00AC54B1"/>
    <w:rsid w:val="00AC5F03"/>
    <w:rsid w:val="00AC7078"/>
    <w:rsid w:val="00AC763A"/>
    <w:rsid w:val="00AD0840"/>
    <w:rsid w:val="00AD1F0B"/>
    <w:rsid w:val="00AD34E6"/>
    <w:rsid w:val="00AD4BA5"/>
    <w:rsid w:val="00AD7581"/>
    <w:rsid w:val="00AE1023"/>
    <w:rsid w:val="00AE1038"/>
    <w:rsid w:val="00AE1F1F"/>
    <w:rsid w:val="00AE36A8"/>
    <w:rsid w:val="00AE37EC"/>
    <w:rsid w:val="00AE46DB"/>
    <w:rsid w:val="00AE67F6"/>
    <w:rsid w:val="00AF19EB"/>
    <w:rsid w:val="00AF23EE"/>
    <w:rsid w:val="00AF2440"/>
    <w:rsid w:val="00AF3B65"/>
    <w:rsid w:val="00AF4BE7"/>
    <w:rsid w:val="00AF4F0A"/>
    <w:rsid w:val="00AF6056"/>
    <w:rsid w:val="00AF6E8C"/>
    <w:rsid w:val="00AF73C6"/>
    <w:rsid w:val="00B00766"/>
    <w:rsid w:val="00B038DA"/>
    <w:rsid w:val="00B04391"/>
    <w:rsid w:val="00B052B7"/>
    <w:rsid w:val="00B06517"/>
    <w:rsid w:val="00B11DDB"/>
    <w:rsid w:val="00B12EF1"/>
    <w:rsid w:val="00B13DC1"/>
    <w:rsid w:val="00B15923"/>
    <w:rsid w:val="00B1652E"/>
    <w:rsid w:val="00B16850"/>
    <w:rsid w:val="00B2144E"/>
    <w:rsid w:val="00B21BCA"/>
    <w:rsid w:val="00B21C80"/>
    <w:rsid w:val="00B23CA5"/>
    <w:rsid w:val="00B25BEA"/>
    <w:rsid w:val="00B27C86"/>
    <w:rsid w:val="00B3021C"/>
    <w:rsid w:val="00B30AC9"/>
    <w:rsid w:val="00B31CC0"/>
    <w:rsid w:val="00B32BBB"/>
    <w:rsid w:val="00B34A94"/>
    <w:rsid w:val="00B37473"/>
    <w:rsid w:val="00B4054B"/>
    <w:rsid w:val="00B40972"/>
    <w:rsid w:val="00B42D24"/>
    <w:rsid w:val="00B4303A"/>
    <w:rsid w:val="00B43E7C"/>
    <w:rsid w:val="00B44AD7"/>
    <w:rsid w:val="00B463F2"/>
    <w:rsid w:val="00B47CB6"/>
    <w:rsid w:val="00B53FA0"/>
    <w:rsid w:val="00B56334"/>
    <w:rsid w:val="00B60AFC"/>
    <w:rsid w:val="00B619AF"/>
    <w:rsid w:val="00B63175"/>
    <w:rsid w:val="00B636C9"/>
    <w:rsid w:val="00B643A9"/>
    <w:rsid w:val="00B6586D"/>
    <w:rsid w:val="00B66029"/>
    <w:rsid w:val="00B667EB"/>
    <w:rsid w:val="00B6681C"/>
    <w:rsid w:val="00B70352"/>
    <w:rsid w:val="00B71871"/>
    <w:rsid w:val="00B726E4"/>
    <w:rsid w:val="00B72D7F"/>
    <w:rsid w:val="00B72DE4"/>
    <w:rsid w:val="00B74DD4"/>
    <w:rsid w:val="00B7628A"/>
    <w:rsid w:val="00B76546"/>
    <w:rsid w:val="00B82AD2"/>
    <w:rsid w:val="00B833A7"/>
    <w:rsid w:val="00B8504C"/>
    <w:rsid w:val="00B859DA"/>
    <w:rsid w:val="00B86BF5"/>
    <w:rsid w:val="00B86E7D"/>
    <w:rsid w:val="00B87740"/>
    <w:rsid w:val="00B925C8"/>
    <w:rsid w:val="00B96881"/>
    <w:rsid w:val="00BA1CF8"/>
    <w:rsid w:val="00BA7714"/>
    <w:rsid w:val="00BA7A94"/>
    <w:rsid w:val="00BB1128"/>
    <w:rsid w:val="00BB126B"/>
    <w:rsid w:val="00BB311D"/>
    <w:rsid w:val="00BB37F3"/>
    <w:rsid w:val="00BB5A1D"/>
    <w:rsid w:val="00BB7D18"/>
    <w:rsid w:val="00BC02D6"/>
    <w:rsid w:val="00BC08D1"/>
    <w:rsid w:val="00BC0E6F"/>
    <w:rsid w:val="00BC24C5"/>
    <w:rsid w:val="00BC3352"/>
    <w:rsid w:val="00BC53EA"/>
    <w:rsid w:val="00BC58CF"/>
    <w:rsid w:val="00BC694C"/>
    <w:rsid w:val="00BC7618"/>
    <w:rsid w:val="00BD1721"/>
    <w:rsid w:val="00BD3C57"/>
    <w:rsid w:val="00BD3D61"/>
    <w:rsid w:val="00BD3E2E"/>
    <w:rsid w:val="00BD43D6"/>
    <w:rsid w:val="00BD6064"/>
    <w:rsid w:val="00BD77B8"/>
    <w:rsid w:val="00BE070C"/>
    <w:rsid w:val="00BE5D81"/>
    <w:rsid w:val="00BF171F"/>
    <w:rsid w:val="00BF17AC"/>
    <w:rsid w:val="00BF4144"/>
    <w:rsid w:val="00BF4B74"/>
    <w:rsid w:val="00BF5CF1"/>
    <w:rsid w:val="00BF7690"/>
    <w:rsid w:val="00C02478"/>
    <w:rsid w:val="00C0318D"/>
    <w:rsid w:val="00C04471"/>
    <w:rsid w:val="00C06FAC"/>
    <w:rsid w:val="00C07180"/>
    <w:rsid w:val="00C1210E"/>
    <w:rsid w:val="00C127BE"/>
    <w:rsid w:val="00C15ED4"/>
    <w:rsid w:val="00C16B15"/>
    <w:rsid w:val="00C17015"/>
    <w:rsid w:val="00C215A5"/>
    <w:rsid w:val="00C22932"/>
    <w:rsid w:val="00C2418B"/>
    <w:rsid w:val="00C24ADC"/>
    <w:rsid w:val="00C2660A"/>
    <w:rsid w:val="00C27B98"/>
    <w:rsid w:val="00C31061"/>
    <w:rsid w:val="00C3253D"/>
    <w:rsid w:val="00C32D1E"/>
    <w:rsid w:val="00C337F8"/>
    <w:rsid w:val="00C34F32"/>
    <w:rsid w:val="00C36751"/>
    <w:rsid w:val="00C40879"/>
    <w:rsid w:val="00C4347D"/>
    <w:rsid w:val="00C44F22"/>
    <w:rsid w:val="00C4737F"/>
    <w:rsid w:val="00C510FA"/>
    <w:rsid w:val="00C51357"/>
    <w:rsid w:val="00C51B7B"/>
    <w:rsid w:val="00C523F2"/>
    <w:rsid w:val="00C5388D"/>
    <w:rsid w:val="00C53918"/>
    <w:rsid w:val="00C570F5"/>
    <w:rsid w:val="00C6126B"/>
    <w:rsid w:val="00C62D8C"/>
    <w:rsid w:val="00C64090"/>
    <w:rsid w:val="00C64791"/>
    <w:rsid w:val="00C648D1"/>
    <w:rsid w:val="00C66A0A"/>
    <w:rsid w:val="00C66C7D"/>
    <w:rsid w:val="00C67873"/>
    <w:rsid w:val="00C70B9A"/>
    <w:rsid w:val="00C71FB5"/>
    <w:rsid w:val="00C72694"/>
    <w:rsid w:val="00C727AE"/>
    <w:rsid w:val="00C7512A"/>
    <w:rsid w:val="00C757BC"/>
    <w:rsid w:val="00C7622A"/>
    <w:rsid w:val="00C76F93"/>
    <w:rsid w:val="00C7733B"/>
    <w:rsid w:val="00C82AC3"/>
    <w:rsid w:val="00C84771"/>
    <w:rsid w:val="00C84884"/>
    <w:rsid w:val="00C858AF"/>
    <w:rsid w:val="00C863F8"/>
    <w:rsid w:val="00C876F6"/>
    <w:rsid w:val="00C900F2"/>
    <w:rsid w:val="00C922DA"/>
    <w:rsid w:val="00C92611"/>
    <w:rsid w:val="00C939D9"/>
    <w:rsid w:val="00C94F1B"/>
    <w:rsid w:val="00C96D35"/>
    <w:rsid w:val="00CA0C44"/>
    <w:rsid w:val="00CA146B"/>
    <w:rsid w:val="00CA2DAC"/>
    <w:rsid w:val="00CA39AA"/>
    <w:rsid w:val="00CA401F"/>
    <w:rsid w:val="00CA4AEA"/>
    <w:rsid w:val="00CA5A66"/>
    <w:rsid w:val="00CB49F1"/>
    <w:rsid w:val="00CB621C"/>
    <w:rsid w:val="00CC0A5C"/>
    <w:rsid w:val="00CC0C60"/>
    <w:rsid w:val="00CC235A"/>
    <w:rsid w:val="00CC45F1"/>
    <w:rsid w:val="00CC47A8"/>
    <w:rsid w:val="00CC6B54"/>
    <w:rsid w:val="00CC6D4D"/>
    <w:rsid w:val="00CC6F16"/>
    <w:rsid w:val="00CC77ED"/>
    <w:rsid w:val="00CD36F6"/>
    <w:rsid w:val="00CD3A81"/>
    <w:rsid w:val="00CD45A0"/>
    <w:rsid w:val="00CD5C27"/>
    <w:rsid w:val="00CD7156"/>
    <w:rsid w:val="00CD798D"/>
    <w:rsid w:val="00CE0927"/>
    <w:rsid w:val="00CE23CA"/>
    <w:rsid w:val="00CE34C7"/>
    <w:rsid w:val="00CE3A4E"/>
    <w:rsid w:val="00CE5D30"/>
    <w:rsid w:val="00CE6F4D"/>
    <w:rsid w:val="00CF107F"/>
    <w:rsid w:val="00CF19E5"/>
    <w:rsid w:val="00CF357A"/>
    <w:rsid w:val="00CF35DF"/>
    <w:rsid w:val="00CF47EC"/>
    <w:rsid w:val="00D004F5"/>
    <w:rsid w:val="00D02505"/>
    <w:rsid w:val="00D0351B"/>
    <w:rsid w:val="00D03A8C"/>
    <w:rsid w:val="00D06234"/>
    <w:rsid w:val="00D065CB"/>
    <w:rsid w:val="00D10305"/>
    <w:rsid w:val="00D112BA"/>
    <w:rsid w:val="00D21D5F"/>
    <w:rsid w:val="00D22451"/>
    <w:rsid w:val="00D2271F"/>
    <w:rsid w:val="00D228C7"/>
    <w:rsid w:val="00D23CA5"/>
    <w:rsid w:val="00D24DD4"/>
    <w:rsid w:val="00D26CF0"/>
    <w:rsid w:val="00D30F15"/>
    <w:rsid w:val="00D327B6"/>
    <w:rsid w:val="00D33AC1"/>
    <w:rsid w:val="00D35543"/>
    <w:rsid w:val="00D35868"/>
    <w:rsid w:val="00D36399"/>
    <w:rsid w:val="00D375C3"/>
    <w:rsid w:val="00D37BA9"/>
    <w:rsid w:val="00D4083C"/>
    <w:rsid w:val="00D418FA"/>
    <w:rsid w:val="00D41B83"/>
    <w:rsid w:val="00D436DE"/>
    <w:rsid w:val="00D43FB7"/>
    <w:rsid w:val="00D4413C"/>
    <w:rsid w:val="00D4552B"/>
    <w:rsid w:val="00D45C01"/>
    <w:rsid w:val="00D467CB"/>
    <w:rsid w:val="00D46886"/>
    <w:rsid w:val="00D50924"/>
    <w:rsid w:val="00D515B8"/>
    <w:rsid w:val="00D52B3C"/>
    <w:rsid w:val="00D532DC"/>
    <w:rsid w:val="00D5488F"/>
    <w:rsid w:val="00D55D62"/>
    <w:rsid w:val="00D60A89"/>
    <w:rsid w:val="00D613A5"/>
    <w:rsid w:val="00D62B08"/>
    <w:rsid w:val="00D63137"/>
    <w:rsid w:val="00D677AB"/>
    <w:rsid w:val="00D70003"/>
    <w:rsid w:val="00D71691"/>
    <w:rsid w:val="00D71CB0"/>
    <w:rsid w:val="00D71EA9"/>
    <w:rsid w:val="00D72CB8"/>
    <w:rsid w:val="00D758B6"/>
    <w:rsid w:val="00D75E5C"/>
    <w:rsid w:val="00D76B02"/>
    <w:rsid w:val="00D8036E"/>
    <w:rsid w:val="00D80F01"/>
    <w:rsid w:val="00D82BDA"/>
    <w:rsid w:val="00D85446"/>
    <w:rsid w:val="00D85DE4"/>
    <w:rsid w:val="00D869C7"/>
    <w:rsid w:val="00D93FFD"/>
    <w:rsid w:val="00D94AA1"/>
    <w:rsid w:val="00D957F1"/>
    <w:rsid w:val="00D96FAD"/>
    <w:rsid w:val="00D971B5"/>
    <w:rsid w:val="00DA0537"/>
    <w:rsid w:val="00DA3A76"/>
    <w:rsid w:val="00DA68B1"/>
    <w:rsid w:val="00DB0142"/>
    <w:rsid w:val="00DB6DF7"/>
    <w:rsid w:val="00DC2605"/>
    <w:rsid w:val="00DC523E"/>
    <w:rsid w:val="00DD17BB"/>
    <w:rsid w:val="00DD20A6"/>
    <w:rsid w:val="00DD25C5"/>
    <w:rsid w:val="00DD4A1B"/>
    <w:rsid w:val="00DD5660"/>
    <w:rsid w:val="00DD6B09"/>
    <w:rsid w:val="00DD7198"/>
    <w:rsid w:val="00DD726D"/>
    <w:rsid w:val="00DE0833"/>
    <w:rsid w:val="00DE0991"/>
    <w:rsid w:val="00DE1AC3"/>
    <w:rsid w:val="00DE2C3C"/>
    <w:rsid w:val="00DE3942"/>
    <w:rsid w:val="00DE45F1"/>
    <w:rsid w:val="00DE4EE7"/>
    <w:rsid w:val="00DE51D8"/>
    <w:rsid w:val="00DE5375"/>
    <w:rsid w:val="00DE7288"/>
    <w:rsid w:val="00DE7933"/>
    <w:rsid w:val="00DF14F9"/>
    <w:rsid w:val="00DF15AD"/>
    <w:rsid w:val="00DF1B9F"/>
    <w:rsid w:val="00DF39F8"/>
    <w:rsid w:val="00DF4826"/>
    <w:rsid w:val="00DF71DC"/>
    <w:rsid w:val="00DF7365"/>
    <w:rsid w:val="00DF75BD"/>
    <w:rsid w:val="00DF7756"/>
    <w:rsid w:val="00E00ADE"/>
    <w:rsid w:val="00E035C5"/>
    <w:rsid w:val="00E039A5"/>
    <w:rsid w:val="00E059A1"/>
    <w:rsid w:val="00E05CE4"/>
    <w:rsid w:val="00E07E67"/>
    <w:rsid w:val="00E10143"/>
    <w:rsid w:val="00E1340E"/>
    <w:rsid w:val="00E13F51"/>
    <w:rsid w:val="00E149EE"/>
    <w:rsid w:val="00E15AAC"/>
    <w:rsid w:val="00E17069"/>
    <w:rsid w:val="00E207A4"/>
    <w:rsid w:val="00E20BE9"/>
    <w:rsid w:val="00E21599"/>
    <w:rsid w:val="00E220D5"/>
    <w:rsid w:val="00E22D30"/>
    <w:rsid w:val="00E24B0C"/>
    <w:rsid w:val="00E25667"/>
    <w:rsid w:val="00E26ED4"/>
    <w:rsid w:val="00E2722B"/>
    <w:rsid w:val="00E32DB2"/>
    <w:rsid w:val="00E33EEF"/>
    <w:rsid w:val="00E349BB"/>
    <w:rsid w:val="00E37120"/>
    <w:rsid w:val="00E41AD7"/>
    <w:rsid w:val="00E427B2"/>
    <w:rsid w:val="00E4341F"/>
    <w:rsid w:val="00E44108"/>
    <w:rsid w:val="00E5059D"/>
    <w:rsid w:val="00E50D60"/>
    <w:rsid w:val="00E5583E"/>
    <w:rsid w:val="00E57615"/>
    <w:rsid w:val="00E60783"/>
    <w:rsid w:val="00E62D31"/>
    <w:rsid w:val="00E632E7"/>
    <w:rsid w:val="00E66710"/>
    <w:rsid w:val="00E7004C"/>
    <w:rsid w:val="00E71011"/>
    <w:rsid w:val="00E71835"/>
    <w:rsid w:val="00E738F9"/>
    <w:rsid w:val="00E740F4"/>
    <w:rsid w:val="00E74B89"/>
    <w:rsid w:val="00E7508C"/>
    <w:rsid w:val="00E769FF"/>
    <w:rsid w:val="00E779FE"/>
    <w:rsid w:val="00E8169D"/>
    <w:rsid w:val="00E81946"/>
    <w:rsid w:val="00E81D52"/>
    <w:rsid w:val="00E826D4"/>
    <w:rsid w:val="00E91CA8"/>
    <w:rsid w:val="00E925EB"/>
    <w:rsid w:val="00E92AE1"/>
    <w:rsid w:val="00E92F30"/>
    <w:rsid w:val="00E94380"/>
    <w:rsid w:val="00E957DC"/>
    <w:rsid w:val="00E97BC1"/>
    <w:rsid w:val="00EA25FE"/>
    <w:rsid w:val="00EA3469"/>
    <w:rsid w:val="00EA3BCE"/>
    <w:rsid w:val="00EA664C"/>
    <w:rsid w:val="00EA7AA4"/>
    <w:rsid w:val="00EA7E2A"/>
    <w:rsid w:val="00EB01B0"/>
    <w:rsid w:val="00EB1C65"/>
    <w:rsid w:val="00EB2771"/>
    <w:rsid w:val="00EB2C87"/>
    <w:rsid w:val="00EB3192"/>
    <w:rsid w:val="00EB6940"/>
    <w:rsid w:val="00EB7028"/>
    <w:rsid w:val="00EC006D"/>
    <w:rsid w:val="00EC092D"/>
    <w:rsid w:val="00EC12F0"/>
    <w:rsid w:val="00EC15D3"/>
    <w:rsid w:val="00EC3BC4"/>
    <w:rsid w:val="00EC409A"/>
    <w:rsid w:val="00EC4A83"/>
    <w:rsid w:val="00EC5CBE"/>
    <w:rsid w:val="00EC67B7"/>
    <w:rsid w:val="00EC7C0C"/>
    <w:rsid w:val="00ED05A6"/>
    <w:rsid w:val="00ED082B"/>
    <w:rsid w:val="00ED27EA"/>
    <w:rsid w:val="00ED4584"/>
    <w:rsid w:val="00ED611E"/>
    <w:rsid w:val="00ED72EE"/>
    <w:rsid w:val="00EE2931"/>
    <w:rsid w:val="00EE3BF0"/>
    <w:rsid w:val="00EE511E"/>
    <w:rsid w:val="00EE67D7"/>
    <w:rsid w:val="00EE7720"/>
    <w:rsid w:val="00EE7D48"/>
    <w:rsid w:val="00EF02CE"/>
    <w:rsid w:val="00EF1BA5"/>
    <w:rsid w:val="00EF4E83"/>
    <w:rsid w:val="00EF78C6"/>
    <w:rsid w:val="00EF7BCC"/>
    <w:rsid w:val="00EF7D60"/>
    <w:rsid w:val="00F0022E"/>
    <w:rsid w:val="00F00BD0"/>
    <w:rsid w:val="00F0249E"/>
    <w:rsid w:val="00F03813"/>
    <w:rsid w:val="00F03C5F"/>
    <w:rsid w:val="00F07056"/>
    <w:rsid w:val="00F07255"/>
    <w:rsid w:val="00F101B6"/>
    <w:rsid w:val="00F10FB9"/>
    <w:rsid w:val="00F1441F"/>
    <w:rsid w:val="00F1665F"/>
    <w:rsid w:val="00F16B11"/>
    <w:rsid w:val="00F2233E"/>
    <w:rsid w:val="00F22866"/>
    <w:rsid w:val="00F22DBB"/>
    <w:rsid w:val="00F22EE0"/>
    <w:rsid w:val="00F230D2"/>
    <w:rsid w:val="00F24A86"/>
    <w:rsid w:val="00F24DAB"/>
    <w:rsid w:val="00F2517F"/>
    <w:rsid w:val="00F25DF2"/>
    <w:rsid w:val="00F27A4A"/>
    <w:rsid w:val="00F304A2"/>
    <w:rsid w:val="00F30674"/>
    <w:rsid w:val="00F32653"/>
    <w:rsid w:val="00F350F0"/>
    <w:rsid w:val="00F376AD"/>
    <w:rsid w:val="00F37D47"/>
    <w:rsid w:val="00F40D4C"/>
    <w:rsid w:val="00F419B5"/>
    <w:rsid w:val="00F41D9C"/>
    <w:rsid w:val="00F4446D"/>
    <w:rsid w:val="00F44536"/>
    <w:rsid w:val="00F44866"/>
    <w:rsid w:val="00F47D0A"/>
    <w:rsid w:val="00F50A0F"/>
    <w:rsid w:val="00F51E80"/>
    <w:rsid w:val="00F52EA2"/>
    <w:rsid w:val="00F54C48"/>
    <w:rsid w:val="00F558E9"/>
    <w:rsid w:val="00F56D63"/>
    <w:rsid w:val="00F576FB"/>
    <w:rsid w:val="00F61460"/>
    <w:rsid w:val="00F64272"/>
    <w:rsid w:val="00F64B8A"/>
    <w:rsid w:val="00F66A5C"/>
    <w:rsid w:val="00F66B6C"/>
    <w:rsid w:val="00F7274A"/>
    <w:rsid w:val="00F73771"/>
    <w:rsid w:val="00F73ABC"/>
    <w:rsid w:val="00F811A0"/>
    <w:rsid w:val="00F82E0A"/>
    <w:rsid w:val="00F848A4"/>
    <w:rsid w:val="00F8522B"/>
    <w:rsid w:val="00F86373"/>
    <w:rsid w:val="00F909DA"/>
    <w:rsid w:val="00F9366A"/>
    <w:rsid w:val="00F96A0F"/>
    <w:rsid w:val="00FA0292"/>
    <w:rsid w:val="00FA1378"/>
    <w:rsid w:val="00FA1772"/>
    <w:rsid w:val="00FA17BF"/>
    <w:rsid w:val="00FA2233"/>
    <w:rsid w:val="00FA4C0C"/>
    <w:rsid w:val="00FA71B5"/>
    <w:rsid w:val="00FA7F0F"/>
    <w:rsid w:val="00FB1474"/>
    <w:rsid w:val="00FB2479"/>
    <w:rsid w:val="00FB3186"/>
    <w:rsid w:val="00FB6873"/>
    <w:rsid w:val="00FC0444"/>
    <w:rsid w:val="00FC07CE"/>
    <w:rsid w:val="00FC09D0"/>
    <w:rsid w:val="00FC0B5F"/>
    <w:rsid w:val="00FC0DCE"/>
    <w:rsid w:val="00FC40D4"/>
    <w:rsid w:val="00FC40D5"/>
    <w:rsid w:val="00FC4ADD"/>
    <w:rsid w:val="00FC5020"/>
    <w:rsid w:val="00FC6365"/>
    <w:rsid w:val="00FC6391"/>
    <w:rsid w:val="00FD2652"/>
    <w:rsid w:val="00FD4E39"/>
    <w:rsid w:val="00FD5143"/>
    <w:rsid w:val="00FD66E8"/>
    <w:rsid w:val="00FD77FE"/>
    <w:rsid w:val="00FD7D42"/>
    <w:rsid w:val="00FE08D7"/>
    <w:rsid w:val="00FE0E9A"/>
    <w:rsid w:val="00FE1157"/>
    <w:rsid w:val="00FE1D7C"/>
    <w:rsid w:val="00FE1F67"/>
    <w:rsid w:val="00FE243C"/>
    <w:rsid w:val="00FE273F"/>
    <w:rsid w:val="00FE42DE"/>
    <w:rsid w:val="00FE5561"/>
    <w:rsid w:val="00FE658A"/>
    <w:rsid w:val="00FE66BF"/>
    <w:rsid w:val="00FE6CF8"/>
    <w:rsid w:val="00FE7F27"/>
    <w:rsid w:val="00FF160A"/>
    <w:rsid w:val="00FF1CF1"/>
    <w:rsid w:val="00FF2F46"/>
    <w:rsid w:val="00FF3238"/>
    <w:rsid w:val="00FF3675"/>
    <w:rsid w:val="00FF5C8D"/>
    <w:rsid w:val="00FF60AD"/>
    <w:rsid w:val="00FF638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0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660E"/>
  </w:style>
  <w:style w:type="character" w:customStyle="1" w:styleId="ja50-ce-collaboration">
    <w:name w:val="ja50-ce-collaboration"/>
    <w:basedOn w:val="DefaultParagraphFont"/>
    <w:rsid w:val="00556DB0"/>
  </w:style>
  <w:style w:type="character" w:styleId="Hyperlink">
    <w:name w:val="Hyperlink"/>
    <w:basedOn w:val="DefaultParagraphFont"/>
    <w:uiPriority w:val="99"/>
    <w:unhideWhenUsed/>
    <w:rsid w:val="002027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E0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8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C8"/>
  </w:style>
  <w:style w:type="paragraph" w:styleId="Footer">
    <w:name w:val="footer"/>
    <w:basedOn w:val="Normal"/>
    <w:link w:val="FooterChar"/>
    <w:uiPriority w:val="99"/>
    <w:unhideWhenUsed/>
    <w:rsid w:val="0009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C8"/>
  </w:style>
  <w:style w:type="character" w:styleId="FollowedHyperlink">
    <w:name w:val="FollowedHyperlink"/>
    <w:basedOn w:val="DefaultParagraphFont"/>
    <w:uiPriority w:val="99"/>
    <w:semiHidden/>
    <w:unhideWhenUsed/>
    <w:rsid w:val="00040C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D45"/>
    <w:pPr>
      <w:ind w:left="720"/>
      <w:contextualSpacing/>
    </w:pPr>
  </w:style>
  <w:style w:type="paragraph" w:styleId="Revision">
    <w:name w:val="Revision"/>
    <w:hidden/>
    <w:uiPriority w:val="99"/>
    <w:semiHidden/>
    <w:rsid w:val="00AE1023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C337F8"/>
    <w:rPr>
      <w:color w:val="2B579A"/>
      <w:shd w:val="clear" w:color="auto" w:fill="E6E6E6"/>
    </w:rPr>
  </w:style>
  <w:style w:type="character" w:customStyle="1" w:styleId="clsstaticdata">
    <w:name w:val="clsstaticdata"/>
    <w:basedOn w:val="DefaultParagraphFont"/>
    <w:rsid w:val="006A685A"/>
  </w:style>
  <w:style w:type="character" w:styleId="LineNumber">
    <w:name w:val="line number"/>
    <w:basedOn w:val="DefaultParagraphFont"/>
    <w:uiPriority w:val="99"/>
    <w:semiHidden/>
    <w:unhideWhenUsed/>
    <w:rsid w:val="00B6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0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5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1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81C0-F2CE-4341-BB19-0E88DBE6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Information</vt:lpstr>
    </vt:vector>
  </TitlesOfParts>
  <Company>NIEHS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>Smith-RoeSL_EMM_2017</dc:subject>
  <dc:creator>Smith-Roe SL</dc:creator>
  <cp:keywords/>
  <dc:description/>
  <cp:lastModifiedBy>Jackson, Marcus (NIH/NIEHS) [C]</cp:lastModifiedBy>
  <cp:revision>19</cp:revision>
  <cp:lastPrinted>2017-10-16T17:40:00Z</cp:lastPrinted>
  <dcterms:created xsi:type="dcterms:W3CDTF">2017-11-28T17:45:00Z</dcterms:created>
  <dcterms:modified xsi:type="dcterms:W3CDTF">2018-04-27T14:53:00Z</dcterms:modified>
</cp:coreProperties>
</file>